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A33D" w14:textId="39103F3F" w:rsidR="008D09D1" w:rsidRPr="00C55DA5" w:rsidRDefault="00337AC7" w:rsidP="00C55DA5">
      <w:pPr>
        <w:pStyle w:val="Title"/>
        <w:tabs>
          <w:tab w:val="left" w:pos="10170"/>
        </w:tabs>
        <w:ind w:left="180" w:right="80"/>
        <w:rPr>
          <w:sz w:val="38"/>
          <w:szCs w:val="38"/>
          <w:u w:val="none"/>
        </w:rPr>
      </w:pPr>
      <w:r>
        <w:rPr>
          <w:spacing w:val="-2"/>
          <w:sz w:val="38"/>
          <w:szCs w:val="38"/>
        </w:rPr>
        <w:t xml:space="preserve">FY27 </w:t>
      </w:r>
      <w:r w:rsidR="00500364" w:rsidRPr="007F0C24">
        <w:rPr>
          <w:spacing w:val="-2"/>
          <w:sz w:val="38"/>
          <w:szCs w:val="38"/>
        </w:rPr>
        <w:t>GRADUATE</w:t>
      </w:r>
      <w:r w:rsidR="00500364" w:rsidRPr="007F0C24">
        <w:rPr>
          <w:spacing w:val="-15"/>
          <w:sz w:val="38"/>
          <w:szCs w:val="38"/>
        </w:rPr>
        <w:t xml:space="preserve"> </w:t>
      </w:r>
      <w:r w:rsidR="00500364" w:rsidRPr="007F0C24">
        <w:rPr>
          <w:spacing w:val="-2"/>
          <w:sz w:val="38"/>
          <w:szCs w:val="38"/>
        </w:rPr>
        <w:t>SCHOOL</w:t>
      </w:r>
      <w:r w:rsidR="00500364" w:rsidRPr="007F0C24">
        <w:rPr>
          <w:spacing w:val="-13"/>
          <w:sz w:val="38"/>
          <w:szCs w:val="38"/>
        </w:rPr>
        <w:t xml:space="preserve"> </w:t>
      </w:r>
      <w:r w:rsidR="00500364" w:rsidRPr="007F0C24">
        <w:rPr>
          <w:spacing w:val="-2"/>
          <w:sz w:val="38"/>
          <w:szCs w:val="38"/>
        </w:rPr>
        <w:t>DEAN’S</w:t>
      </w:r>
      <w:r w:rsidR="00500364" w:rsidRPr="007F0C24">
        <w:rPr>
          <w:spacing w:val="40"/>
          <w:sz w:val="38"/>
          <w:szCs w:val="38"/>
        </w:rPr>
        <w:t xml:space="preserve"> </w:t>
      </w:r>
      <w:r w:rsidR="00500364" w:rsidRPr="007F0C24">
        <w:rPr>
          <w:spacing w:val="-2"/>
          <w:sz w:val="38"/>
          <w:szCs w:val="38"/>
        </w:rPr>
        <w:t>FELLOWSHIP</w:t>
      </w:r>
      <w:r w:rsidR="00500364" w:rsidRPr="007F0C24">
        <w:rPr>
          <w:spacing w:val="-20"/>
          <w:sz w:val="38"/>
          <w:szCs w:val="38"/>
        </w:rPr>
        <w:t xml:space="preserve"> </w:t>
      </w:r>
      <w:r w:rsidR="00500364" w:rsidRPr="007F0C24">
        <w:rPr>
          <w:spacing w:val="-2"/>
          <w:sz w:val="38"/>
          <w:szCs w:val="38"/>
        </w:rPr>
        <w:t>GUIDELINES</w:t>
      </w:r>
    </w:p>
    <w:p w14:paraId="3896E73D" w14:textId="77777777" w:rsidR="00547894" w:rsidRPr="00337AC7" w:rsidRDefault="00547894">
      <w:pPr>
        <w:pStyle w:val="Heading1"/>
        <w:ind w:left="908"/>
        <w:rPr>
          <w:b w:val="0"/>
          <w:iCs/>
          <w:sz w:val="4"/>
          <w:szCs w:val="4"/>
          <w:u w:val="none"/>
        </w:rPr>
      </w:pPr>
    </w:p>
    <w:p w14:paraId="4D626F2F" w14:textId="68ECB353" w:rsidR="008D09D1" w:rsidRPr="00A22C78" w:rsidRDefault="00337AC7" w:rsidP="002C6091">
      <w:pPr>
        <w:pStyle w:val="BodyText"/>
        <w:ind w:left="180"/>
        <w:rPr>
          <w:b w:val="0"/>
          <w:bCs w:val="0"/>
          <w:sz w:val="21"/>
          <w:szCs w:val="21"/>
        </w:rPr>
      </w:pPr>
      <w:r w:rsidRPr="00A22C78">
        <w:rPr>
          <w:b w:val="0"/>
          <w:bCs w:val="0"/>
          <w:sz w:val="21"/>
          <w:szCs w:val="21"/>
        </w:rPr>
        <w:t xml:space="preserve">The primary purpose of Dean’s Fellowship is to serve as a recruitment tool for prospective students, specifically </w:t>
      </w:r>
      <w:r w:rsidR="005A7788" w:rsidRPr="00A22C78">
        <w:rPr>
          <w:b w:val="0"/>
          <w:bCs w:val="0"/>
          <w:sz w:val="21"/>
          <w:szCs w:val="21"/>
        </w:rPr>
        <w:t xml:space="preserve">doctoral </w:t>
      </w:r>
      <w:r w:rsidRPr="00A22C78">
        <w:rPr>
          <w:b w:val="0"/>
          <w:bCs w:val="0"/>
          <w:sz w:val="21"/>
          <w:szCs w:val="21"/>
        </w:rPr>
        <w:t>students. The funds can also be used as retention awards for currently enrolled students</w:t>
      </w:r>
      <w:r w:rsidR="005A7788" w:rsidRPr="00A22C78">
        <w:rPr>
          <w:b w:val="0"/>
          <w:bCs w:val="0"/>
          <w:sz w:val="21"/>
          <w:szCs w:val="21"/>
        </w:rPr>
        <w:t>, especially doctoral students</w:t>
      </w:r>
      <w:r w:rsidRPr="00A22C78">
        <w:rPr>
          <w:b w:val="0"/>
          <w:bCs w:val="0"/>
          <w:sz w:val="21"/>
          <w:szCs w:val="21"/>
        </w:rPr>
        <w:t>.</w:t>
      </w:r>
    </w:p>
    <w:p w14:paraId="4C1FE079" w14:textId="183B6632" w:rsidR="002C6091" w:rsidRPr="002C6091" w:rsidRDefault="002C6091" w:rsidP="002C6091">
      <w:pPr>
        <w:pStyle w:val="BodyText"/>
        <w:ind w:left="180"/>
        <w:rPr>
          <w:b w:val="0"/>
          <w:bCs w:val="0"/>
        </w:rPr>
      </w:pPr>
    </w:p>
    <w:p w14:paraId="05346FB8" w14:textId="07B8912E" w:rsidR="002C6091" w:rsidRPr="002C6091" w:rsidRDefault="00500364" w:rsidP="00337AC7">
      <w:pPr>
        <w:pStyle w:val="ListParagraph"/>
        <w:numPr>
          <w:ilvl w:val="0"/>
          <w:numId w:val="3"/>
        </w:numPr>
        <w:tabs>
          <w:tab w:val="left" w:pos="889"/>
        </w:tabs>
        <w:spacing w:before="34" w:line="237" w:lineRule="auto"/>
        <w:ind w:right="380"/>
        <w:rPr>
          <w:bCs/>
          <w:sz w:val="21"/>
          <w:szCs w:val="21"/>
        </w:rPr>
      </w:pPr>
      <w:r w:rsidRPr="00337AC7">
        <w:rPr>
          <w:bCs/>
          <w:sz w:val="21"/>
          <w:szCs w:val="21"/>
        </w:rPr>
        <w:t>DFs</w:t>
      </w:r>
      <w:r w:rsidRPr="00337AC7">
        <w:rPr>
          <w:bCs/>
          <w:spacing w:val="-2"/>
          <w:sz w:val="21"/>
          <w:szCs w:val="21"/>
        </w:rPr>
        <w:t xml:space="preserve"> </w:t>
      </w:r>
      <w:r w:rsidRPr="00337AC7">
        <w:rPr>
          <w:bCs/>
          <w:sz w:val="21"/>
          <w:szCs w:val="21"/>
        </w:rPr>
        <w:t>are</w:t>
      </w:r>
      <w:r w:rsidRPr="00337AC7">
        <w:rPr>
          <w:bCs/>
          <w:spacing w:val="-4"/>
          <w:sz w:val="21"/>
          <w:szCs w:val="21"/>
        </w:rPr>
        <w:t xml:space="preserve"> </w:t>
      </w:r>
      <w:r w:rsidRPr="00337AC7">
        <w:rPr>
          <w:bCs/>
          <w:sz w:val="21"/>
          <w:szCs w:val="21"/>
        </w:rPr>
        <w:t>allocated</w:t>
      </w:r>
      <w:r w:rsidRPr="00337AC7">
        <w:rPr>
          <w:bCs/>
          <w:spacing w:val="-4"/>
          <w:sz w:val="21"/>
          <w:szCs w:val="21"/>
        </w:rPr>
        <w:t xml:space="preserve"> </w:t>
      </w:r>
      <w:r w:rsidRPr="00337AC7">
        <w:rPr>
          <w:bCs/>
          <w:sz w:val="21"/>
          <w:szCs w:val="21"/>
        </w:rPr>
        <w:t>to</w:t>
      </w:r>
      <w:r w:rsidRPr="00337AC7">
        <w:rPr>
          <w:bCs/>
          <w:spacing w:val="-5"/>
          <w:sz w:val="21"/>
          <w:szCs w:val="21"/>
        </w:rPr>
        <w:t xml:space="preserve"> </w:t>
      </w:r>
      <w:r w:rsidRPr="00337AC7">
        <w:rPr>
          <w:bCs/>
          <w:sz w:val="21"/>
          <w:szCs w:val="21"/>
        </w:rPr>
        <w:t>each</w:t>
      </w:r>
      <w:r w:rsidRPr="00337AC7">
        <w:rPr>
          <w:bCs/>
          <w:spacing w:val="-3"/>
          <w:sz w:val="21"/>
          <w:szCs w:val="21"/>
        </w:rPr>
        <w:t xml:space="preserve"> </w:t>
      </w:r>
      <w:r w:rsidRPr="00337AC7">
        <w:rPr>
          <w:bCs/>
          <w:spacing w:val="-2"/>
          <w:sz w:val="21"/>
          <w:szCs w:val="21"/>
        </w:rPr>
        <w:t>college/</w:t>
      </w:r>
      <w:r w:rsidR="005A7788" w:rsidRPr="00337AC7">
        <w:rPr>
          <w:bCs/>
          <w:spacing w:val="-2"/>
          <w:sz w:val="21"/>
          <w:szCs w:val="21"/>
        </w:rPr>
        <w:t>sch</w:t>
      </w:r>
      <w:r w:rsidR="005A7788">
        <w:rPr>
          <w:bCs/>
          <w:spacing w:val="-2"/>
          <w:sz w:val="21"/>
          <w:szCs w:val="21"/>
        </w:rPr>
        <w:t>ool,</w:t>
      </w:r>
      <w:r w:rsidR="002C6091">
        <w:rPr>
          <w:bCs/>
          <w:spacing w:val="-2"/>
          <w:sz w:val="21"/>
          <w:szCs w:val="21"/>
        </w:rPr>
        <w:t xml:space="preserve"> and each college/school has the discretion to allocate the funds to the departments/programs.</w:t>
      </w:r>
    </w:p>
    <w:p w14:paraId="2577F26E" w14:textId="09482F26" w:rsidR="008D09D1" w:rsidRPr="00337AC7" w:rsidRDefault="002C6091" w:rsidP="00337AC7">
      <w:pPr>
        <w:pStyle w:val="ListParagraph"/>
        <w:numPr>
          <w:ilvl w:val="0"/>
          <w:numId w:val="3"/>
        </w:numPr>
        <w:tabs>
          <w:tab w:val="left" w:pos="889"/>
        </w:tabs>
        <w:spacing w:before="34" w:line="237" w:lineRule="auto"/>
        <w:ind w:right="380"/>
        <w:rPr>
          <w:bCs/>
          <w:sz w:val="21"/>
          <w:szCs w:val="21"/>
        </w:rPr>
      </w:pPr>
      <w:r>
        <w:rPr>
          <w:bCs/>
          <w:spacing w:val="-2"/>
          <w:sz w:val="21"/>
          <w:szCs w:val="21"/>
        </w:rPr>
        <w:t xml:space="preserve">DFs are </w:t>
      </w:r>
      <w:r w:rsidR="00500364" w:rsidRPr="00337AC7">
        <w:rPr>
          <w:bCs/>
          <w:sz w:val="21"/>
          <w:szCs w:val="21"/>
        </w:rPr>
        <w:t>intended</w:t>
      </w:r>
      <w:r w:rsidR="00500364" w:rsidRPr="00337AC7">
        <w:rPr>
          <w:bCs/>
          <w:spacing w:val="-5"/>
          <w:sz w:val="21"/>
          <w:szCs w:val="21"/>
        </w:rPr>
        <w:t xml:space="preserve"> </w:t>
      </w:r>
      <w:r w:rsidR="00500364" w:rsidRPr="00337AC7">
        <w:rPr>
          <w:bCs/>
          <w:sz w:val="21"/>
          <w:szCs w:val="21"/>
        </w:rPr>
        <w:t>for</w:t>
      </w:r>
      <w:r w:rsidR="00500364" w:rsidRPr="00337AC7">
        <w:rPr>
          <w:bCs/>
          <w:spacing w:val="-5"/>
          <w:sz w:val="21"/>
          <w:szCs w:val="21"/>
        </w:rPr>
        <w:t xml:space="preserve"> </w:t>
      </w:r>
      <w:r w:rsidR="00500364" w:rsidRPr="00337AC7">
        <w:rPr>
          <w:bCs/>
          <w:sz w:val="21"/>
          <w:szCs w:val="21"/>
        </w:rPr>
        <w:t>full-time</w:t>
      </w:r>
      <w:r w:rsidR="00500364" w:rsidRPr="00337AC7">
        <w:rPr>
          <w:bCs/>
          <w:spacing w:val="-5"/>
          <w:sz w:val="21"/>
          <w:szCs w:val="21"/>
        </w:rPr>
        <w:t xml:space="preserve"> </w:t>
      </w:r>
      <w:r w:rsidR="00500364" w:rsidRPr="00337AC7">
        <w:rPr>
          <w:bCs/>
          <w:sz w:val="21"/>
          <w:szCs w:val="21"/>
        </w:rPr>
        <w:t>students</w:t>
      </w:r>
      <w:r>
        <w:rPr>
          <w:bCs/>
          <w:sz w:val="21"/>
          <w:szCs w:val="21"/>
        </w:rPr>
        <w:t>; award distribution can</w:t>
      </w:r>
      <w:r w:rsidR="0087027D">
        <w:rPr>
          <w:bCs/>
          <w:sz w:val="21"/>
          <w:szCs w:val="21"/>
        </w:rPr>
        <w:t>not</w:t>
      </w:r>
      <w:r>
        <w:rPr>
          <w:bCs/>
          <w:sz w:val="21"/>
          <w:szCs w:val="21"/>
        </w:rPr>
        <w:t xml:space="preserve"> extend beyond four fiscal years.</w:t>
      </w:r>
    </w:p>
    <w:p w14:paraId="543A64CF" w14:textId="5BDE6B5D" w:rsidR="008D09D1" w:rsidRPr="00337AC7" w:rsidRDefault="00A852D0" w:rsidP="00337AC7">
      <w:pPr>
        <w:pStyle w:val="ListParagraph"/>
        <w:numPr>
          <w:ilvl w:val="0"/>
          <w:numId w:val="3"/>
        </w:numPr>
        <w:tabs>
          <w:tab w:val="left" w:pos="889"/>
        </w:tabs>
        <w:spacing w:before="34" w:line="237" w:lineRule="auto"/>
        <w:ind w:right="471"/>
        <w:rPr>
          <w:bCs/>
          <w:sz w:val="21"/>
          <w:szCs w:val="21"/>
        </w:rPr>
      </w:pPr>
      <w:r w:rsidRPr="00337AC7">
        <w:rPr>
          <w:bCs/>
          <w:spacing w:val="-8"/>
          <w:sz w:val="21"/>
          <w:szCs w:val="21"/>
        </w:rPr>
        <w:t xml:space="preserve">DF </w:t>
      </w:r>
      <w:r w:rsidR="00500364" w:rsidRPr="00337AC7">
        <w:rPr>
          <w:bCs/>
          <w:sz w:val="21"/>
          <w:szCs w:val="21"/>
        </w:rPr>
        <w:t>funds</w:t>
      </w:r>
      <w:r w:rsidR="00500364" w:rsidRPr="00337AC7">
        <w:rPr>
          <w:bCs/>
          <w:spacing w:val="-3"/>
          <w:sz w:val="21"/>
          <w:szCs w:val="21"/>
        </w:rPr>
        <w:t xml:space="preserve"> </w:t>
      </w:r>
      <w:r w:rsidR="00500364" w:rsidRPr="00337AC7">
        <w:rPr>
          <w:bCs/>
          <w:sz w:val="21"/>
          <w:szCs w:val="21"/>
        </w:rPr>
        <w:t>must</w:t>
      </w:r>
      <w:r w:rsidR="00500364" w:rsidRPr="00337AC7">
        <w:rPr>
          <w:bCs/>
          <w:spacing w:val="-4"/>
          <w:sz w:val="21"/>
          <w:szCs w:val="21"/>
        </w:rPr>
        <w:t xml:space="preserve"> </w:t>
      </w:r>
      <w:r w:rsidR="00500364" w:rsidRPr="00337AC7">
        <w:rPr>
          <w:bCs/>
          <w:sz w:val="21"/>
          <w:szCs w:val="21"/>
        </w:rPr>
        <w:t>be</w:t>
      </w:r>
      <w:r w:rsidR="00500364" w:rsidRPr="00337AC7">
        <w:rPr>
          <w:bCs/>
          <w:spacing w:val="-4"/>
          <w:sz w:val="21"/>
          <w:szCs w:val="21"/>
        </w:rPr>
        <w:t xml:space="preserve"> </w:t>
      </w:r>
      <w:r w:rsidR="00500364" w:rsidRPr="00337AC7">
        <w:rPr>
          <w:bCs/>
          <w:sz w:val="21"/>
          <w:szCs w:val="21"/>
        </w:rPr>
        <w:t>a</w:t>
      </w:r>
      <w:r w:rsidR="002C6091">
        <w:rPr>
          <w:bCs/>
          <w:sz w:val="21"/>
          <w:szCs w:val="21"/>
        </w:rPr>
        <w:t xml:space="preserve">ssigned </w:t>
      </w:r>
      <w:r w:rsidR="00500364" w:rsidRPr="00337AC7">
        <w:rPr>
          <w:bCs/>
          <w:sz w:val="21"/>
          <w:szCs w:val="21"/>
        </w:rPr>
        <w:t>within</w:t>
      </w:r>
      <w:r w:rsidR="00500364" w:rsidRPr="00337AC7">
        <w:rPr>
          <w:bCs/>
          <w:spacing w:val="-5"/>
          <w:sz w:val="21"/>
          <w:szCs w:val="21"/>
        </w:rPr>
        <w:t xml:space="preserve"> </w:t>
      </w:r>
      <w:r w:rsidR="00500364" w:rsidRPr="00337AC7">
        <w:rPr>
          <w:bCs/>
          <w:sz w:val="21"/>
          <w:szCs w:val="21"/>
        </w:rPr>
        <w:t>the</w:t>
      </w:r>
      <w:r w:rsidR="00500364" w:rsidRPr="00337AC7">
        <w:rPr>
          <w:bCs/>
          <w:spacing w:val="-4"/>
          <w:sz w:val="21"/>
          <w:szCs w:val="21"/>
        </w:rPr>
        <w:t xml:space="preserve"> </w:t>
      </w:r>
      <w:r w:rsidRPr="00337AC7">
        <w:rPr>
          <w:bCs/>
          <w:sz w:val="21"/>
          <w:szCs w:val="21"/>
        </w:rPr>
        <w:t xml:space="preserve">allocation year. </w:t>
      </w:r>
      <w:r w:rsidR="00500364" w:rsidRPr="00337AC7">
        <w:rPr>
          <w:bCs/>
          <w:spacing w:val="-5"/>
          <w:sz w:val="21"/>
          <w:szCs w:val="21"/>
        </w:rPr>
        <w:t xml:space="preserve"> </w:t>
      </w:r>
      <w:r w:rsidRPr="00337AC7">
        <w:rPr>
          <w:bCs/>
          <w:sz w:val="21"/>
          <w:szCs w:val="21"/>
        </w:rPr>
        <w:t>Unused funds revert to T</w:t>
      </w:r>
      <w:r w:rsidR="0087027D">
        <w:rPr>
          <w:bCs/>
          <w:sz w:val="21"/>
          <w:szCs w:val="21"/>
        </w:rPr>
        <w:t>he Graduate School (TGS)</w:t>
      </w:r>
      <w:r w:rsidRPr="00337AC7">
        <w:rPr>
          <w:bCs/>
          <w:sz w:val="21"/>
          <w:szCs w:val="21"/>
        </w:rPr>
        <w:t>; no exceptions</w:t>
      </w:r>
      <w:r w:rsidR="002C6091">
        <w:rPr>
          <w:bCs/>
          <w:sz w:val="21"/>
          <w:szCs w:val="21"/>
        </w:rPr>
        <w:t xml:space="preserve"> allowed.</w:t>
      </w:r>
    </w:p>
    <w:p w14:paraId="5F3A4BD7" w14:textId="29A27A5F" w:rsidR="008D09D1" w:rsidRPr="00337AC7" w:rsidRDefault="00A852D0" w:rsidP="00337AC7">
      <w:pPr>
        <w:pStyle w:val="ListParagraph"/>
        <w:numPr>
          <w:ilvl w:val="0"/>
          <w:numId w:val="3"/>
        </w:numPr>
        <w:tabs>
          <w:tab w:val="left" w:pos="889"/>
        </w:tabs>
        <w:ind w:right="503"/>
        <w:rPr>
          <w:bCs/>
          <w:sz w:val="21"/>
          <w:szCs w:val="21"/>
        </w:rPr>
      </w:pPr>
      <w:r w:rsidRPr="00337AC7">
        <w:rPr>
          <w:bCs/>
          <w:spacing w:val="-2"/>
          <w:sz w:val="21"/>
          <w:szCs w:val="21"/>
        </w:rPr>
        <w:t>Students may receive multiple DFs concurrently or over time, in increments of $2,500.  Awards cannot be less than $2,500</w:t>
      </w:r>
      <w:r w:rsidR="00500364" w:rsidRPr="00337AC7">
        <w:rPr>
          <w:bCs/>
          <w:sz w:val="21"/>
          <w:szCs w:val="21"/>
        </w:rPr>
        <w:t>.</w:t>
      </w:r>
      <w:r w:rsidR="002C6091">
        <w:rPr>
          <w:bCs/>
          <w:sz w:val="21"/>
          <w:szCs w:val="21"/>
        </w:rPr>
        <w:t xml:space="preserve"> </w:t>
      </w:r>
    </w:p>
    <w:p w14:paraId="7719BDE8" w14:textId="267AE575" w:rsidR="008D09D1" w:rsidRPr="002C6091" w:rsidRDefault="00A852D0" w:rsidP="002C6091">
      <w:pPr>
        <w:pStyle w:val="ListParagraph"/>
        <w:numPr>
          <w:ilvl w:val="0"/>
          <w:numId w:val="3"/>
        </w:numPr>
        <w:tabs>
          <w:tab w:val="left" w:pos="889"/>
        </w:tabs>
        <w:ind w:right="340"/>
        <w:rPr>
          <w:bCs/>
          <w:sz w:val="21"/>
          <w:szCs w:val="21"/>
        </w:rPr>
      </w:pPr>
      <w:r w:rsidRPr="00337AC7">
        <w:rPr>
          <w:bCs/>
          <w:sz w:val="21"/>
          <w:szCs w:val="21"/>
        </w:rPr>
        <w:t xml:space="preserve">DFs may supplement an assistantship or fellowship package but cannot </w:t>
      </w:r>
      <w:r w:rsidR="00694A8F">
        <w:rPr>
          <w:bCs/>
          <w:sz w:val="21"/>
          <w:szCs w:val="21"/>
        </w:rPr>
        <w:t>be used as</w:t>
      </w:r>
      <w:r w:rsidRPr="00337AC7">
        <w:rPr>
          <w:bCs/>
          <w:sz w:val="21"/>
          <w:szCs w:val="21"/>
        </w:rPr>
        <w:t xml:space="preserve"> base funding</w:t>
      </w:r>
      <w:r w:rsidR="00500364" w:rsidRPr="00337AC7">
        <w:rPr>
          <w:bCs/>
          <w:sz w:val="21"/>
          <w:szCs w:val="21"/>
        </w:rPr>
        <w:t>.</w:t>
      </w:r>
    </w:p>
    <w:p w14:paraId="3E49D2BE" w14:textId="1B0188E0" w:rsidR="002C6091" w:rsidRDefault="00500364" w:rsidP="002C6091">
      <w:pPr>
        <w:pStyle w:val="ListParagraph"/>
        <w:numPr>
          <w:ilvl w:val="0"/>
          <w:numId w:val="3"/>
        </w:numPr>
        <w:tabs>
          <w:tab w:val="left" w:pos="889"/>
        </w:tabs>
        <w:spacing w:before="31"/>
        <w:ind w:right="359"/>
        <w:rPr>
          <w:bCs/>
          <w:sz w:val="21"/>
          <w:szCs w:val="21"/>
        </w:rPr>
      </w:pPr>
      <w:r w:rsidRPr="00337AC7">
        <w:rPr>
          <w:bCs/>
          <w:sz w:val="21"/>
          <w:szCs w:val="21"/>
        </w:rPr>
        <w:t>If a</w:t>
      </w:r>
      <w:r w:rsidR="0087027D">
        <w:rPr>
          <w:bCs/>
          <w:sz w:val="21"/>
          <w:szCs w:val="21"/>
        </w:rPr>
        <w:t xml:space="preserve"> student declines the</w:t>
      </w:r>
      <w:r w:rsidRPr="00337AC7">
        <w:rPr>
          <w:bCs/>
          <w:sz w:val="21"/>
          <w:szCs w:val="21"/>
        </w:rPr>
        <w:t xml:space="preserve"> DF </w:t>
      </w:r>
      <w:r w:rsidR="0087027D">
        <w:rPr>
          <w:bCs/>
          <w:sz w:val="21"/>
          <w:szCs w:val="21"/>
        </w:rPr>
        <w:t xml:space="preserve">or withdraws from their graduate program, </w:t>
      </w:r>
      <w:r w:rsidR="00A852D0" w:rsidRPr="00337AC7">
        <w:rPr>
          <w:bCs/>
          <w:sz w:val="21"/>
          <w:szCs w:val="21"/>
        </w:rPr>
        <w:t xml:space="preserve">the funds may be reassigned to </w:t>
      </w:r>
      <w:r w:rsidR="005A7788">
        <w:rPr>
          <w:bCs/>
          <w:sz w:val="21"/>
          <w:szCs w:val="21"/>
        </w:rPr>
        <w:t xml:space="preserve">a </w:t>
      </w:r>
      <w:r w:rsidR="00A852D0" w:rsidRPr="00337AC7">
        <w:rPr>
          <w:bCs/>
          <w:sz w:val="21"/>
          <w:szCs w:val="21"/>
        </w:rPr>
        <w:t>new or current</w:t>
      </w:r>
      <w:r w:rsidR="005A7788">
        <w:rPr>
          <w:bCs/>
          <w:sz w:val="21"/>
          <w:szCs w:val="21"/>
        </w:rPr>
        <w:t>ly</w:t>
      </w:r>
      <w:r w:rsidR="00A852D0" w:rsidRPr="00337AC7">
        <w:rPr>
          <w:bCs/>
          <w:sz w:val="21"/>
          <w:szCs w:val="21"/>
        </w:rPr>
        <w:t xml:space="preserve"> enrolled student within the same allocation year</w:t>
      </w:r>
      <w:r w:rsidR="0087027D">
        <w:rPr>
          <w:bCs/>
          <w:sz w:val="21"/>
          <w:szCs w:val="21"/>
        </w:rPr>
        <w:t xml:space="preserve"> </w:t>
      </w:r>
      <w:proofErr w:type="gramStart"/>
      <w:r w:rsidR="0087027D">
        <w:rPr>
          <w:bCs/>
          <w:sz w:val="21"/>
          <w:szCs w:val="21"/>
        </w:rPr>
        <w:t>as long as</w:t>
      </w:r>
      <w:proofErr w:type="gramEnd"/>
      <w:r w:rsidR="0087027D">
        <w:rPr>
          <w:bCs/>
          <w:sz w:val="21"/>
          <w:szCs w:val="21"/>
        </w:rPr>
        <w:t xml:space="preserve"> the updates are submitted to TGS by the deadline listed below.</w:t>
      </w:r>
    </w:p>
    <w:p w14:paraId="379962C9" w14:textId="6173829D" w:rsidR="002C6091" w:rsidRPr="00337AC7" w:rsidRDefault="005A7788" w:rsidP="002C6091">
      <w:pPr>
        <w:pStyle w:val="ListParagraph"/>
        <w:numPr>
          <w:ilvl w:val="0"/>
          <w:numId w:val="3"/>
        </w:numPr>
        <w:tabs>
          <w:tab w:val="left" w:pos="889"/>
        </w:tabs>
        <w:spacing w:before="31"/>
        <w:rPr>
          <w:bCs/>
          <w:sz w:val="21"/>
          <w:szCs w:val="21"/>
        </w:rPr>
      </w:pPr>
      <w:r>
        <w:rPr>
          <w:bCs/>
          <w:sz w:val="21"/>
          <w:szCs w:val="21"/>
        </w:rPr>
        <w:t xml:space="preserve">New </w:t>
      </w:r>
      <w:r w:rsidR="002C6091" w:rsidRPr="00337AC7">
        <w:rPr>
          <w:bCs/>
          <w:sz w:val="21"/>
          <w:szCs w:val="21"/>
        </w:rPr>
        <w:t>DF</w:t>
      </w:r>
      <w:r w:rsidR="002C6091" w:rsidRPr="00337AC7">
        <w:rPr>
          <w:bCs/>
          <w:spacing w:val="-9"/>
          <w:sz w:val="21"/>
          <w:szCs w:val="21"/>
        </w:rPr>
        <w:t xml:space="preserve"> </w:t>
      </w:r>
      <w:r w:rsidR="002C6091" w:rsidRPr="00337AC7">
        <w:rPr>
          <w:bCs/>
          <w:sz w:val="21"/>
          <w:szCs w:val="21"/>
        </w:rPr>
        <w:t>recipients</w:t>
      </w:r>
      <w:r w:rsidR="002C6091">
        <w:rPr>
          <w:bCs/>
          <w:sz w:val="21"/>
          <w:szCs w:val="21"/>
        </w:rPr>
        <w:t xml:space="preserve"> and award details</w:t>
      </w:r>
      <w:r w:rsidR="002C6091" w:rsidRPr="00337AC7">
        <w:rPr>
          <w:bCs/>
          <w:sz w:val="21"/>
          <w:szCs w:val="21"/>
        </w:rPr>
        <w:t xml:space="preserve"> must be</w:t>
      </w:r>
      <w:r w:rsidR="002C6091" w:rsidRPr="00337AC7">
        <w:rPr>
          <w:bCs/>
          <w:spacing w:val="-4"/>
          <w:sz w:val="21"/>
          <w:szCs w:val="21"/>
        </w:rPr>
        <w:t xml:space="preserve"> </w:t>
      </w:r>
      <w:r w:rsidR="002C6091">
        <w:rPr>
          <w:bCs/>
          <w:sz w:val="21"/>
          <w:szCs w:val="21"/>
        </w:rPr>
        <w:t xml:space="preserve">submitted </w:t>
      </w:r>
      <w:r w:rsidR="002C6091" w:rsidRPr="00337AC7">
        <w:rPr>
          <w:bCs/>
          <w:sz w:val="21"/>
          <w:szCs w:val="21"/>
        </w:rPr>
        <w:t>to</w:t>
      </w:r>
      <w:r w:rsidR="0087027D">
        <w:rPr>
          <w:bCs/>
          <w:spacing w:val="-3"/>
          <w:sz w:val="21"/>
          <w:szCs w:val="21"/>
        </w:rPr>
        <w:t xml:space="preserve"> </w:t>
      </w:r>
      <w:r w:rsidR="002C6091">
        <w:rPr>
          <w:bCs/>
          <w:sz w:val="21"/>
          <w:szCs w:val="21"/>
        </w:rPr>
        <w:t>TGS</w:t>
      </w:r>
      <w:r w:rsidR="002C6091" w:rsidRPr="00337AC7">
        <w:rPr>
          <w:bCs/>
          <w:spacing w:val="-3"/>
          <w:sz w:val="21"/>
          <w:szCs w:val="21"/>
        </w:rPr>
        <w:t xml:space="preserve"> by July 15</w:t>
      </w:r>
      <w:r w:rsidR="002C6091" w:rsidRPr="00337AC7">
        <w:rPr>
          <w:bCs/>
          <w:spacing w:val="-3"/>
          <w:sz w:val="21"/>
          <w:szCs w:val="21"/>
          <w:vertAlign w:val="superscript"/>
        </w:rPr>
        <w:t>th</w:t>
      </w:r>
      <w:r w:rsidR="002C6091" w:rsidRPr="00337AC7">
        <w:rPr>
          <w:bCs/>
          <w:spacing w:val="-3"/>
          <w:sz w:val="21"/>
          <w:szCs w:val="21"/>
        </w:rPr>
        <w:t xml:space="preserve"> of the award year.  Updates may be submitted </w:t>
      </w:r>
      <w:r w:rsidR="002C6091" w:rsidRPr="00337AC7">
        <w:rPr>
          <w:bCs/>
          <w:sz w:val="21"/>
          <w:szCs w:val="21"/>
        </w:rPr>
        <w:t>as follows:</w:t>
      </w:r>
    </w:p>
    <w:p w14:paraId="126F9B07" w14:textId="52CF328F" w:rsidR="002C6091" w:rsidRPr="00337AC7" w:rsidRDefault="002C6091" w:rsidP="002C6091">
      <w:pPr>
        <w:pStyle w:val="ListParagraph"/>
        <w:numPr>
          <w:ilvl w:val="2"/>
          <w:numId w:val="3"/>
        </w:numPr>
        <w:tabs>
          <w:tab w:val="left" w:pos="889"/>
        </w:tabs>
        <w:spacing w:before="31"/>
        <w:rPr>
          <w:bCs/>
          <w:sz w:val="21"/>
          <w:szCs w:val="21"/>
        </w:rPr>
      </w:pPr>
      <w:r w:rsidRPr="00337AC7">
        <w:rPr>
          <w:bCs/>
          <w:sz w:val="21"/>
          <w:szCs w:val="21"/>
        </w:rPr>
        <w:t>Summer SS2 – July 15</w:t>
      </w:r>
      <w:r w:rsidRPr="00337AC7">
        <w:rPr>
          <w:bCs/>
          <w:sz w:val="21"/>
          <w:szCs w:val="21"/>
          <w:vertAlign w:val="superscript"/>
        </w:rPr>
        <w:t>th</w:t>
      </w:r>
    </w:p>
    <w:p w14:paraId="5E9B257F" w14:textId="3ABEBF7D" w:rsidR="002C6091" w:rsidRPr="00337AC7" w:rsidRDefault="002C6091" w:rsidP="002C6091">
      <w:pPr>
        <w:pStyle w:val="ListParagraph"/>
        <w:numPr>
          <w:ilvl w:val="2"/>
          <w:numId w:val="3"/>
        </w:numPr>
        <w:tabs>
          <w:tab w:val="left" w:pos="889"/>
        </w:tabs>
        <w:spacing w:before="31"/>
        <w:rPr>
          <w:bCs/>
          <w:sz w:val="21"/>
          <w:szCs w:val="21"/>
        </w:rPr>
      </w:pPr>
      <w:r w:rsidRPr="00337AC7">
        <w:rPr>
          <w:bCs/>
          <w:sz w:val="21"/>
          <w:szCs w:val="21"/>
        </w:rPr>
        <w:t>Fall – August 1</w:t>
      </w:r>
      <w:r w:rsidRPr="00337AC7">
        <w:rPr>
          <w:bCs/>
          <w:sz w:val="21"/>
          <w:szCs w:val="21"/>
          <w:vertAlign w:val="superscript"/>
        </w:rPr>
        <w:t>st</w:t>
      </w:r>
    </w:p>
    <w:p w14:paraId="00FA5DB2" w14:textId="509CE476" w:rsidR="002C6091" w:rsidRPr="00337AC7" w:rsidRDefault="002C6091" w:rsidP="002C6091">
      <w:pPr>
        <w:pStyle w:val="ListParagraph"/>
        <w:numPr>
          <w:ilvl w:val="2"/>
          <w:numId w:val="3"/>
        </w:numPr>
        <w:tabs>
          <w:tab w:val="left" w:pos="889"/>
        </w:tabs>
        <w:spacing w:before="31"/>
        <w:rPr>
          <w:bCs/>
          <w:sz w:val="21"/>
          <w:szCs w:val="21"/>
        </w:rPr>
      </w:pPr>
      <w:r w:rsidRPr="00337AC7">
        <w:rPr>
          <w:bCs/>
          <w:sz w:val="21"/>
          <w:szCs w:val="21"/>
        </w:rPr>
        <w:t>Spring – December 1</w:t>
      </w:r>
      <w:r w:rsidRPr="00337AC7">
        <w:rPr>
          <w:bCs/>
          <w:sz w:val="21"/>
          <w:szCs w:val="21"/>
          <w:vertAlign w:val="superscript"/>
        </w:rPr>
        <w:t>st</w:t>
      </w:r>
    </w:p>
    <w:p w14:paraId="1FE92000" w14:textId="109BF329" w:rsidR="002C6091" w:rsidRPr="0087027D" w:rsidRDefault="002C6091" w:rsidP="002C6091">
      <w:pPr>
        <w:pStyle w:val="ListParagraph"/>
        <w:numPr>
          <w:ilvl w:val="2"/>
          <w:numId w:val="3"/>
        </w:numPr>
        <w:tabs>
          <w:tab w:val="left" w:pos="889"/>
        </w:tabs>
        <w:spacing w:before="31"/>
        <w:rPr>
          <w:bCs/>
          <w:sz w:val="21"/>
          <w:szCs w:val="21"/>
        </w:rPr>
      </w:pPr>
      <w:r w:rsidRPr="00337AC7">
        <w:rPr>
          <w:bCs/>
          <w:sz w:val="21"/>
          <w:szCs w:val="21"/>
        </w:rPr>
        <w:t>Summer SS1 – April 15</w:t>
      </w:r>
      <w:r w:rsidRPr="00337AC7">
        <w:rPr>
          <w:bCs/>
          <w:sz w:val="21"/>
          <w:szCs w:val="21"/>
          <w:vertAlign w:val="superscript"/>
        </w:rPr>
        <w:t>th</w:t>
      </w:r>
    </w:p>
    <w:p w14:paraId="3D4DC2DE" w14:textId="25118683" w:rsidR="008D09D1" w:rsidRPr="0087027D" w:rsidRDefault="0087027D" w:rsidP="0087027D">
      <w:pPr>
        <w:pStyle w:val="ListParagraph"/>
        <w:numPr>
          <w:ilvl w:val="0"/>
          <w:numId w:val="3"/>
        </w:numPr>
        <w:tabs>
          <w:tab w:val="left" w:pos="889"/>
        </w:tabs>
        <w:spacing w:before="31"/>
        <w:rPr>
          <w:sz w:val="20"/>
        </w:rPr>
      </w:pPr>
      <w:r>
        <w:rPr>
          <w:bCs/>
          <w:sz w:val="21"/>
          <w:szCs w:val="21"/>
        </w:rPr>
        <w:t xml:space="preserve">TGS will distribute the DFs directly to the students based on the college/school submission. Domestic students will be paid through the Student Award System (SAS). The payment process for non-resident aliens (NRA) will be initiated in Workday HCM by the department once the approved fellowship request form is provided by TGS. </w:t>
      </w:r>
    </w:p>
    <w:p w14:paraId="338973D1" w14:textId="78B345A6" w:rsidR="0087027D" w:rsidRPr="00A22C78" w:rsidRDefault="0087027D" w:rsidP="0087027D">
      <w:pPr>
        <w:pStyle w:val="ListParagraph"/>
        <w:tabs>
          <w:tab w:val="left" w:pos="889"/>
        </w:tabs>
        <w:spacing w:before="31"/>
        <w:ind w:left="720" w:firstLine="0"/>
        <w:rPr>
          <w:sz w:val="16"/>
          <w:szCs w:val="16"/>
        </w:rPr>
      </w:pPr>
    </w:p>
    <w:p w14:paraId="6B39945D" w14:textId="77777777" w:rsidR="008D09D1" w:rsidRPr="00547894" w:rsidRDefault="008D09D1">
      <w:pPr>
        <w:pStyle w:val="BodyText"/>
        <w:spacing w:before="8"/>
        <w:rPr>
          <w:sz w:val="2"/>
          <w:szCs w:val="2"/>
        </w:rPr>
      </w:pPr>
      <w:bookmarkStart w:id="0" w:name="UNIVERSITY_FELLOWSHIPS_(UF)_–_DISCONTINU"/>
      <w:bookmarkEnd w:id="0"/>
    </w:p>
    <w:p w14:paraId="12BDC07D" w14:textId="3FEA3B2F" w:rsidR="008D09D1" w:rsidRPr="00A22C78" w:rsidRDefault="00500364" w:rsidP="0087027D">
      <w:pPr>
        <w:pStyle w:val="Heading1"/>
        <w:spacing w:before="8"/>
        <w:ind w:left="0"/>
        <w:jc w:val="left"/>
        <w:rPr>
          <w:spacing w:val="-4"/>
          <w:sz w:val="22"/>
          <w:szCs w:val="22"/>
          <w:u w:val="none"/>
        </w:rPr>
      </w:pPr>
      <w:bookmarkStart w:id="1" w:name="TUITION_AWARDS_for_UFs_and_DFs:"/>
      <w:bookmarkEnd w:id="1"/>
      <w:r w:rsidRPr="00A22C78">
        <w:rPr>
          <w:sz w:val="22"/>
          <w:szCs w:val="22"/>
          <w:u w:val="thick"/>
        </w:rPr>
        <w:t>TUITION</w:t>
      </w:r>
      <w:r w:rsidRPr="00A22C78">
        <w:rPr>
          <w:spacing w:val="-4"/>
          <w:sz w:val="22"/>
          <w:szCs w:val="22"/>
          <w:u w:val="thick"/>
        </w:rPr>
        <w:t xml:space="preserve"> </w:t>
      </w:r>
      <w:r w:rsidRPr="00A22C78">
        <w:rPr>
          <w:sz w:val="22"/>
          <w:szCs w:val="22"/>
          <w:u w:val="thick"/>
        </w:rPr>
        <w:t>A</w:t>
      </w:r>
      <w:r w:rsidR="00460C0C" w:rsidRPr="00A22C78">
        <w:rPr>
          <w:sz w:val="22"/>
          <w:szCs w:val="22"/>
          <w:u w:val="thick"/>
        </w:rPr>
        <w:t>SSISTANCE</w:t>
      </w:r>
      <w:r w:rsidRPr="00A22C78">
        <w:rPr>
          <w:spacing w:val="-1"/>
          <w:sz w:val="22"/>
          <w:szCs w:val="22"/>
          <w:u w:val="thick"/>
        </w:rPr>
        <w:t xml:space="preserve"> </w:t>
      </w:r>
      <w:r w:rsidR="005A7788" w:rsidRPr="00A22C78">
        <w:rPr>
          <w:spacing w:val="-1"/>
          <w:sz w:val="22"/>
          <w:szCs w:val="22"/>
          <w:u w:val="thick"/>
        </w:rPr>
        <w:t>– (</w:t>
      </w:r>
      <w:r w:rsidR="00753338" w:rsidRPr="00A22C78">
        <w:rPr>
          <w:spacing w:val="-1"/>
          <w:sz w:val="22"/>
          <w:szCs w:val="22"/>
          <w:u w:val="thick"/>
        </w:rPr>
        <w:t>Only Applies to FY27</w:t>
      </w:r>
      <w:r w:rsidR="005A7788" w:rsidRPr="00A22C78">
        <w:rPr>
          <w:spacing w:val="-1"/>
          <w:sz w:val="22"/>
          <w:szCs w:val="22"/>
          <w:u w:val="thick"/>
        </w:rPr>
        <w:t>)</w:t>
      </w:r>
    </w:p>
    <w:p w14:paraId="61AD99FF" w14:textId="40F8BF54" w:rsidR="00D525F0" w:rsidRPr="00D525F0" w:rsidRDefault="00D525F0" w:rsidP="00D525F0">
      <w:pPr>
        <w:widowControl/>
        <w:autoSpaceDE/>
        <w:autoSpaceDN/>
        <w:spacing w:before="100" w:beforeAutospacing="1" w:after="100" w:afterAutospacing="1"/>
        <w:rPr>
          <w:rFonts w:asciiTheme="minorHAnsi" w:eastAsia="Times New Roman" w:hAnsiTheme="minorHAnsi" w:cstheme="minorHAnsi"/>
          <w:sz w:val="21"/>
          <w:szCs w:val="21"/>
        </w:rPr>
      </w:pPr>
      <w:r w:rsidRPr="00D525F0">
        <w:rPr>
          <w:rFonts w:asciiTheme="minorHAnsi" w:eastAsia="Times New Roman" w:hAnsiTheme="minorHAnsi" w:cstheme="minorHAnsi"/>
          <w:sz w:val="21"/>
          <w:szCs w:val="21"/>
        </w:rPr>
        <w:t xml:space="preserve">Colleges can decide how to distribute their tuition benefit funds among departments. If the total requested amount is more than the college's allocated funding, the extra cost must be covered by a college-level </w:t>
      </w:r>
      <w:proofErr w:type="spellStart"/>
      <w:r w:rsidRPr="00D525F0">
        <w:rPr>
          <w:rFonts w:asciiTheme="minorHAnsi" w:eastAsia="Times New Roman" w:hAnsiTheme="minorHAnsi" w:cstheme="minorHAnsi"/>
          <w:sz w:val="21"/>
          <w:szCs w:val="21"/>
        </w:rPr>
        <w:t>U</w:t>
      </w:r>
      <w:r>
        <w:rPr>
          <w:rFonts w:asciiTheme="minorHAnsi" w:eastAsia="Times New Roman" w:hAnsiTheme="minorHAnsi" w:cstheme="minorHAnsi"/>
          <w:sz w:val="21"/>
          <w:szCs w:val="21"/>
        </w:rPr>
        <w:t>S</w:t>
      </w:r>
      <w:r w:rsidRPr="00D525F0">
        <w:rPr>
          <w:rFonts w:asciiTheme="minorHAnsi" w:eastAsia="Times New Roman" w:hAnsiTheme="minorHAnsi" w:cstheme="minorHAnsi"/>
          <w:sz w:val="21"/>
          <w:szCs w:val="21"/>
        </w:rPr>
        <w:t>ource</w:t>
      </w:r>
      <w:proofErr w:type="spellEnd"/>
      <w:r w:rsidRPr="00D525F0">
        <w:rPr>
          <w:rFonts w:asciiTheme="minorHAnsi" w:eastAsia="Times New Roman" w:hAnsiTheme="minorHAnsi" w:cstheme="minorHAnsi"/>
          <w:sz w:val="21"/>
          <w:szCs w:val="21"/>
        </w:rPr>
        <w:t xml:space="preserve"> account. The college is responsible for determining how those extra costs are charged back to departments.</w:t>
      </w:r>
    </w:p>
    <w:p w14:paraId="5BF9B9DB" w14:textId="3B745E1F" w:rsidR="00D525F0" w:rsidRPr="00D525F0" w:rsidRDefault="00D525F0" w:rsidP="00D525F0">
      <w:pPr>
        <w:widowControl/>
        <w:autoSpaceDE/>
        <w:autoSpaceDN/>
        <w:spacing w:before="100" w:beforeAutospacing="1" w:after="100" w:afterAutospacing="1"/>
        <w:rPr>
          <w:rFonts w:asciiTheme="minorHAnsi" w:eastAsia="Times New Roman" w:hAnsiTheme="minorHAnsi" w:cstheme="minorHAnsi"/>
          <w:sz w:val="21"/>
          <w:szCs w:val="21"/>
        </w:rPr>
      </w:pPr>
      <w:r w:rsidRPr="00D525F0">
        <w:rPr>
          <w:rFonts w:asciiTheme="minorHAnsi" w:eastAsia="Times New Roman" w:hAnsiTheme="minorHAnsi" w:cstheme="minorHAnsi"/>
          <w:sz w:val="21"/>
          <w:szCs w:val="21"/>
        </w:rPr>
        <w:t>When planning budgets, colleges and departments should use the estimated tuition costs for:</w:t>
      </w:r>
    </w:p>
    <w:p w14:paraId="165BE7D2" w14:textId="35674A11" w:rsidR="00D525F0" w:rsidRPr="00753338" w:rsidRDefault="00D525F0" w:rsidP="00D525F0">
      <w:pPr>
        <w:widowControl/>
        <w:numPr>
          <w:ilvl w:val="0"/>
          <w:numId w:val="2"/>
        </w:numPr>
        <w:autoSpaceDE/>
        <w:autoSpaceDN/>
        <w:spacing w:before="100" w:beforeAutospacing="1" w:after="100" w:afterAutospacing="1"/>
        <w:rPr>
          <w:rFonts w:asciiTheme="minorHAnsi" w:eastAsia="Times New Roman" w:hAnsiTheme="minorHAnsi" w:cstheme="minorHAnsi"/>
          <w:sz w:val="21"/>
          <w:szCs w:val="21"/>
        </w:rPr>
      </w:pPr>
      <w:r w:rsidRPr="00753338">
        <w:rPr>
          <w:rFonts w:asciiTheme="minorHAnsi" w:eastAsia="Times New Roman" w:hAnsiTheme="minorHAnsi" w:cstheme="minorHAnsi"/>
          <w:sz w:val="21"/>
          <w:szCs w:val="21"/>
        </w:rPr>
        <w:t xml:space="preserve">Half-stacked </w:t>
      </w:r>
      <w:r w:rsidR="005A7788" w:rsidRPr="00753338">
        <w:rPr>
          <w:rFonts w:asciiTheme="minorHAnsi" w:eastAsia="Times New Roman" w:hAnsiTheme="minorHAnsi" w:cstheme="minorHAnsi"/>
          <w:sz w:val="21"/>
          <w:szCs w:val="21"/>
        </w:rPr>
        <w:t xml:space="preserve">Dean’s </w:t>
      </w:r>
      <w:r w:rsidRPr="00753338">
        <w:rPr>
          <w:rFonts w:asciiTheme="minorHAnsi" w:eastAsia="Times New Roman" w:hAnsiTheme="minorHAnsi" w:cstheme="minorHAnsi"/>
          <w:sz w:val="21"/>
          <w:szCs w:val="21"/>
        </w:rPr>
        <w:t>fellowship</w:t>
      </w:r>
      <w:r w:rsidR="00753338">
        <w:rPr>
          <w:rFonts w:asciiTheme="minorHAnsi" w:eastAsia="Times New Roman" w:hAnsiTheme="minorHAnsi" w:cstheme="minorHAnsi"/>
          <w:sz w:val="21"/>
          <w:szCs w:val="21"/>
        </w:rPr>
        <w:t xml:space="preserve">s </w:t>
      </w:r>
      <w:r w:rsidR="00753338" w:rsidRPr="00753338">
        <w:rPr>
          <w:rFonts w:asciiTheme="minorHAnsi" w:eastAsia="Times New Roman" w:hAnsiTheme="minorHAnsi" w:cstheme="minorHAnsi"/>
          <w:sz w:val="21"/>
          <w:szCs w:val="21"/>
        </w:rPr>
        <w:t>($12,500) will be eligible for</w:t>
      </w:r>
      <w:r w:rsidRPr="00753338">
        <w:rPr>
          <w:rFonts w:asciiTheme="minorHAnsi" w:eastAsia="Times New Roman" w:hAnsiTheme="minorHAnsi" w:cstheme="minorHAnsi"/>
          <w:sz w:val="21"/>
          <w:szCs w:val="21"/>
        </w:rPr>
        <w:t xml:space="preserve"> 5 credits</w:t>
      </w:r>
      <w:r w:rsidR="00753338">
        <w:rPr>
          <w:rFonts w:asciiTheme="minorHAnsi" w:eastAsia="Times New Roman" w:hAnsiTheme="minorHAnsi" w:cstheme="minorHAnsi"/>
          <w:sz w:val="21"/>
          <w:szCs w:val="21"/>
        </w:rPr>
        <w:t xml:space="preserve"> per academic semester.</w:t>
      </w:r>
    </w:p>
    <w:p w14:paraId="5B530CE2" w14:textId="3A3F7F17" w:rsidR="00C55DA5" w:rsidRDefault="00D525F0" w:rsidP="00D525F0">
      <w:pPr>
        <w:widowControl/>
        <w:numPr>
          <w:ilvl w:val="0"/>
          <w:numId w:val="2"/>
        </w:numPr>
        <w:autoSpaceDE/>
        <w:autoSpaceDN/>
        <w:spacing w:before="100" w:beforeAutospacing="1" w:after="100" w:afterAutospacing="1"/>
        <w:rPr>
          <w:rFonts w:asciiTheme="minorHAnsi" w:eastAsia="Times New Roman" w:hAnsiTheme="minorHAnsi" w:cstheme="minorHAnsi"/>
          <w:sz w:val="21"/>
          <w:szCs w:val="21"/>
        </w:rPr>
      </w:pPr>
      <w:r w:rsidRPr="00753338">
        <w:rPr>
          <w:rFonts w:asciiTheme="minorHAnsi" w:eastAsia="Times New Roman" w:hAnsiTheme="minorHAnsi" w:cstheme="minorHAnsi"/>
          <w:sz w:val="21"/>
          <w:szCs w:val="21"/>
        </w:rPr>
        <w:t xml:space="preserve">Full-stacked </w:t>
      </w:r>
      <w:r w:rsidR="005A7788" w:rsidRPr="00753338">
        <w:rPr>
          <w:rFonts w:asciiTheme="minorHAnsi" w:eastAsia="Times New Roman" w:hAnsiTheme="minorHAnsi" w:cstheme="minorHAnsi"/>
          <w:sz w:val="21"/>
          <w:szCs w:val="21"/>
        </w:rPr>
        <w:t xml:space="preserve">Dean’s </w:t>
      </w:r>
      <w:r w:rsidRPr="00753338">
        <w:rPr>
          <w:rFonts w:asciiTheme="minorHAnsi" w:eastAsia="Times New Roman" w:hAnsiTheme="minorHAnsi" w:cstheme="minorHAnsi"/>
          <w:sz w:val="21"/>
          <w:szCs w:val="21"/>
        </w:rPr>
        <w:t xml:space="preserve">fellowships </w:t>
      </w:r>
      <w:r w:rsidR="00753338" w:rsidRPr="00753338">
        <w:rPr>
          <w:rFonts w:asciiTheme="minorHAnsi" w:eastAsia="Times New Roman" w:hAnsiTheme="minorHAnsi" w:cstheme="minorHAnsi"/>
          <w:sz w:val="21"/>
          <w:szCs w:val="21"/>
        </w:rPr>
        <w:t>($25,000</w:t>
      </w:r>
      <w:r w:rsidR="00753338">
        <w:rPr>
          <w:rFonts w:asciiTheme="minorHAnsi" w:eastAsia="Times New Roman" w:hAnsiTheme="minorHAnsi" w:cstheme="minorHAnsi"/>
          <w:sz w:val="21"/>
          <w:szCs w:val="21"/>
        </w:rPr>
        <w:t xml:space="preserve">) will be eligible for </w:t>
      </w:r>
      <w:r w:rsidRPr="00D525F0">
        <w:rPr>
          <w:rFonts w:asciiTheme="minorHAnsi" w:eastAsia="Times New Roman" w:hAnsiTheme="minorHAnsi" w:cstheme="minorHAnsi"/>
          <w:sz w:val="21"/>
          <w:szCs w:val="21"/>
        </w:rPr>
        <w:t xml:space="preserve">10 credits </w:t>
      </w:r>
      <w:r w:rsidR="00753338">
        <w:rPr>
          <w:rFonts w:asciiTheme="minorHAnsi" w:eastAsia="Times New Roman" w:hAnsiTheme="minorHAnsi" w:cstheme="minorHAnsi"/>
          <w:sz w:val="21"/>
          <w:szCs w:val="21"/>
        </w:rPr>
        <w:t>per academic semester.</w:t>
      </w:r>
    </w:p>
    <w:p w14:paraId="47F7FE23" w14:textId="34B20238" w:rsidR="00D525F0" w:rsidRPr="00C55DA5" w:rsidRDefault="00D525F0" w:rsidP="00D525F0">
      <w:pPr>
        <w:widowControl/>
        <w:numPr>
          <w:ilvl w:val="0"/>
          <w:numId w:val="2"/>
        </w:numPr>
        <w:autoSpaceDE/>
        <w:autoSpaceDN/>
        <w:spacing w:before="100" w:beforeAutospacing="1" w:after="100" w:afterAutospacing="1"/>
        <w:rPr>
          <w:rFonts w:asciiTheme="minorHAnsi" w:eastAsia="Times New Roman" w:hAnsiTheme="minorHAnsi" w:cstheme="minorHAnsi"/>
          <w:sz w:val="21"/>
          <w:szCs w:val="21"/>
        </w:rPr>
      </w:pPr>
      <w:r w:rsidRPr="00C55DA5">
        <w:rPr>
          <w:rFonts w:asciiTheme="minorHAnsi" w:eastAsia="Times New Roman" w:hAnsiTheme="minorHAnsi" w:cstheme="minorHAnsi"/>
          <w:sz w:val="21"/>
          <w:szCs w:val="21"/>
        </w:rPr>
        <w:t>Keep in mind that tuition costs are higher for out-of-state students.</w:t>
      </w:r>
    </w:p>
    <w:p w14:paraId="0FDD51AB" w14:textId="44B86753" w:rsidR="00D525F0" w:rsidRPr="00D525F0" w:rsidRDefault="00D525F0" w:rsidP="00D525F0">
      <w:pPr>
        <w:widowControl/>
        <w:autoSpaceDE/>
        <w:autoSpaceDN/>
        <w:spacing w:before="100" w:beforeAutospacing="1" w:after="100" w:afterAutospacing="1"/>
        <w:rPr>
          <w:rFonts w:asciiTheme="minorHAnsi" w:eastAsia="Times New Roman" w:hAnsiTheme="minorHAnsi" w:cstheme="minorHAnsi"/>
          <w:sz w:val="21"/>
          <w:szCs w:val="21"/>
        </w:rPr>
      </w:pPr>
      <w:r w:rsidRPr="00D525F0">
        <w:rPr>
          <w:rFonts w:asciiTheme="minorHAnsi" w:eastAsia="Times New Roman" w:hAnsiTheme="minorHAnsi" w:cstheme="minorHAnsi"/>
          <w:b/>
          <w:bCs/>
          <w:sz w:val="21"/>
          <w:szCs w:val="21"/>
        </w:rPr>
        <w:t>Example:</w:t>
      </w:r>
      <w:r w:rsidRPr="00D525F0">
        <w:rPr>
          <w:rFonts w:asciiTheme="minorHAnsi" w:eastAsia="Times New Roman" w:hAnsiTheme="minorHAnsi" w:cstheme="minorHAnsi"/>
          <w:sz w:val="21"/>
          <w:szCs w:val="21"/>
        </w:rPr>
        <w:t xml:space="preserve"> If a college has a tuition benefit allocation of </w:t>
      </w:r>
      <w:r w:rsidRPr="00D525F0">
        <w:rPr>
          <w:rFonts w:asciiTheme="minorHAnsi" w:eastAsia="Times New Roman" w:hAnsiTheme="minorHAnsi" w:cstheme="minorHAnsi"/>
          <w:b/>
          <w:bCs/>
          <w:sz w:val="21"/>
          <w:szCs w:val="21"/>
        </w:rPr>
        <w:t>$50,000</w:t>
      </w:r>
      <w:r w:rsidRPr="00D525F0">
        <w:rPr>
          <w:rFonts w:asciiTheme="minorHAnsi" w:eastAsia="Times New Roman" w:hAnsiTheme="minorHAnsi" w:cstheme="minorHAnsi"/>
          <w:sz w:val="21"/>
          <w:szCs w:val="21"/>
        </w:rPr>
        <w:t xml:space="preserve"> and an in-state half-stacked fellowship </w:t>
      </w:r>
      <w:r w:rsidR="005A7788">
        <w:rPr>
          <w:rFonts w:asciiTheme="minorHAnsi" w:eastAsia="Times New Roman" w:hAnsiTheme="minorHAnsi" w:cstheme="minorHAnsi"/>
          <w:sz w:val="21"/>
          <w:szCs w:val="21"/>
        </w:rPr>
        <w:t>accrues</w:t>
      </w:r>
      <w:r w:rsidR="005A7788" w:rsidRPr="00D525F0">
        <w:rPr>
          <w:rFonts w:asciiTheme="minorHAnsi" w:eastAsia="Times New Roman" w:hAnsiTheme="minorHAnsi" w:cstheme="minorHAnsi"/>
          <w:sz w:val="21"/>
          <w:szCs w:val="21"/>
        </w:rPr>
        <w:t xml:space="preserve"> </w:t>
      </w:r>
      <w:r w:rsidRPr="00D525F0">
        <w:rPr>
          <w:rFonts w:asciiTheme="minorHAnsi" w:eastAsia="Times New Roman" w:hAnsiTheme="minorHAnsi" w:cstheme="minorHAnsi"/>
          <w:b/>
          <w:bCs/>
          <w:sz w:val="21"/>
          <w:szCs w:val="21"/>
        </w:rPr>
        <w:t>$8,000</w:t>
      </w:r>
      <w:r w:rsidR="005A7788">
        <w:rPr>
          <w:rFonts w:asciiTheme="minorHAnsi" w:eastAsia="Times New Roman" w:hAnsiTheme="minorHAnsi" w:cstheme="minorHAnsi"/>
          <w:sz w:val="21"/>
          <w:szCs w:val="21"/>
        </w:rPr>
        <w:t xml:space="preserve"> in tuition cost</w:t>
      </w:r>
      <w:r w:rsidRPr="00D525F0">
        <w:rPr>
          <w:rFonts w:asciiTheme="minorHAnsi" w:eastAsia="Times New Roman" w:hAnsiTheme="minorHAnsi" w:cstheme="minorHAnsi"/>
          <w:sz w:val="21"/>
          <w:szCs w:val="21"/>
        </w:rPr>
        <w:t xml:space="preserve">, then requesting </w:t>
      </w:r>
      <w:r w:rsidRPr="00D525F0">
        <w:rPr>
          <w:rFonts w:asciiTheme="minorHAnsi" w:eastAsia="Times New Roman" w:hAnsiTheme="minorHAnsi" w:cstheme="minorHAnsi"/>
          <w:b/>
          <w:bCs/>
          <w:sz w:val="21"/>
          <w:szCs w:val="21"/>
        </w:rPr>
        <w:t>7 half-stacked fellowships</w:t>
      </w:r>
      <w:r w:rsidRPr="00D525F0">
        <w:rPr>
          <w:rFonts w:asciiTheme="minorHAnsi" w:eastAsia="Times New Roman" w:hAnsiTheme="minorHAnsi" w:cstheme="minorHAnsi"/>
          <w:sz w:val="21"/>
          <w:szCs w:val="21"/>
        </w:rPr>
        <w:t xml:space="preserve"> would </w:t>
      </w:r>
      <w:r w:rsidR="005A7788">
        <w:rPr>
          <w:rFonts w:asciiTheme="minorHAnsi" w:eastAsia="Times New Roman" w:hAnsiTheme="minorHAnsi" w:cstheme="minorHAnsi"/>
          <w:sz w:val="21"/>
          <w:szCs w:val="21"/>
        </w:rPr>
        <w:t>require</w:t>
      </w:r>
      <w:r w:rsidR="005A7788" w:rsidRPr="00D525F0">
        <w:rPr>
          <w:rFonts w:asciiTheme="minorHAnsi" w:eastAsia="Times New Roman" w:hAnsiTheme="minorHAnsi" w:cstheme="minorHAnsi"/>
          <w:sz w:val="21"/>
          <w:szCs w:val="21"/>
        </w:rPr>
        <w:t xml:space="preserve"> </w:t>
      </w:r>
      <w:r w:rsidRPr="00D525F0">
        <w:rPr>
          <w:rFonts w:asciiTheme="minorHAnsi" w:eastAsia="Times New Roman" w:hAnsiTheme="minorHAnsi" w:cstheme="minorHAnsi"/>
          <w:b/>
          <w:bCs/>
          <w:sz w:val="21"/>
          <w:szCs w:val="21"/>
        </w:rPr>
        <w:t>$56,000</w:t>
      </w:r>
      <w:r w:rsidRPr="00D525F0">
        <w:rPr>
          <w:rFonts w:asciiTheme="minorHAnsi" w:eastAsia="Times New Roman" w:hAnsiTheme="minorHAnsi" w:cstheme="minorHAnsi"/>
          <w:sz w:val="21"/>
          <w:szCs w:val="21"/>
        </w:rPr>
        <w:t xml:space="preserve">. Since this is </w:t>
      </w:r>
      <w:r w:rsidRPr="00D525F0">
        <w:rPr>
          <w:rFonts w:asciiTheme="minorHAnsi" w:eastAsia="Times New Roman" w:hAnsiTheme="minorHAnsi" w:cstheme="minorHAnsi"/>
          <w:b/>
          <w:bCs/>
          <w:sz w:val="21"/>
          <w:szCs w:val="21"/>
        </w:rPr>
        <w:t>$6,000 over</w:t>
      </w:r>
      <w:r w:rsidRPr="00D525F0">
        <w:rPr>
          <w:rFonts w:asciiTheme="minorHAnsi" w:eastAsia="Times New Roman" w:hAnsiTheme="minorHAnsi" w:cstheme="minorHAnsi"/>
          <w:sz w:val="21"/>
          <w:szCs w:val="21"/>
        </w:rPr>
        <w:t xml:space="preserve"> the </w:t>
      </w:r>
      <w:r w:rsidR="005A7788">
        <w:rPr>
          <w:rFonts w:asciiTheme="minorHAnsi" w:eastAsia="Times New Roman" w:hAnsiTheme="minorHAnsi" w:cstheme="minorHAnsi"/>
          <w:sz w:val="21"/>
          <w:szCs w:val="21"/>
        </w:rPr>
        <w:t xml:space="preserve">college </w:t>
      </w:r>
      <w:r w:rsidRPr="00D525F0">
        <w:rPr>
          <w:rFonts w:asciiTheme="minorHAnsi" w:eastAsia="Times New Roman" w:hAnsiTheme="minorHAnsi" w:cstheme="minorHAnsi"/>
          <w:sz w:val="21"/>
          <w:szCs w:val="21"/>
        </w:rPr>
        <w:t>allocation, the college would be responsible for covering th</w:t>
      </w:r>
      <w:r w:rsidR="00337AC7">
        <w:rPr>
          <w:rFonts w:asciiTheme="minorHAnsi" w:eastAsia="Times New Roman" w:hAnsiTheme="minorHAnsi" w:cstheme="minorHAnsi"/>
          <w:sz w:val="21"/>
          <w:szCs w:val="21"/>
        </w:rPr>
        <w:t>e</w:t>
      </w:r>
      <w:r w:rsidRPr="00D525F0">
        <w:rPr>
          <w:rFonts w:asciiTheme="minorHAnsi" w:eastAsia="Times New Roman" w:hAnsiTheme="minorHAnsi" w:cstheme="minorHAnsi"/>
          <w:sz w:val="21"/>
          <w:szCs w:val="21"/>
        </w:rPr>
        <w:t xml:space="preserve"> additional $6,000.</w:t>
      </w:r>
    </w:p>
    <w:p w14:paraId="020E1DD3" w14:textId="1A5C4242" w:rsidR="00753338" w:rsidRDefault="00D525F0" w:rsidP="00753338">
      <w:pPr>
        <w:widowControl/>
        <w:autoSpaceDE/>
        <w:autoSpaceDN/>
        <w:spacing w:before="100" w:beforeAutospacing="1" w:after="100" w:afterAutospacing="1"/>
        <w:rPr>
          <w:rFonts w:asciiTheme="minorHAnsi" w:eastAsia="Times New Roman" w:hAnsiTheme="minorHAnsi" w:cstheme="minorHAnsi"/>
          <w:sz w:val="21"/>
          <w:szCs w:val="21"/>
        </w:rPr>
      </w:pPr>
      <w:r w:rsidRPr="00D525F0">
        <w:rPr>
          <w:rFonts w:asciiTheme="minorHAnsi" w:eastAsia="Times New Roman" w:hAnsiTheme="minorHAnsi" w:cstheme="minorHAnsi"/>
          <w:sz w:val="21"/>
          <w:szCs w:val="21"/>
        </w:rPr>
        <w:t xml:space="preserve">Funding amounts are based on the </w:t>
      </w:r>
      <w:r w:rsidRPr="00D525F0">
        <w:rPr>
          <w:rFonts w:asciiTheme="minorHAnsi" w:eastAsia="Times New Roman" w:hAnsiTheme="minorHAnsi" w:cstheme="minorHAnsi"/>
          <w:b/>
          <w:bCs/>
          <w:sz w:val="21"/>
          <w:szCs w:val="21"/>
        </w:rPr>
        <w:t>fall and spring semesters only</w:t>
      </w:r>
      <w:r w:rsidRPr="00D525F0">
        <w:rPr>
          <w:rFonts w:asciiTheme="minorHAnsi" w:eastAsia="Times New Roman" w:hAnsiTheme="minorHAnsi" w:cstheme="minorHAnsi"/>
          <w:sz w:val="21"/>
          <w:szCs w:val="21"/>
        </w:rPr>
        <w:t xml:space="preserve"> </w:t>
      </w:r>
      <w:r w:rsidR="00337AC7">
        <w:rPr>
          <w:rFonts w:asciiTheme="minorHAnsi" w:eastAsia="Times New Roman" w:hAnsiTheme="minorHAnsi" w:cstheme="minorHAnsi"/>
          <w:sz w:val="21"/>
          <w:szCs w:val="21"/>
        </w:rPr>
        <w:t>(does NOT include summer and winter)</w:t>
      </w:r>
      <w:r w:rsidRPr="00D525F0">
        <w:rPr>
          <w:rFonts w:asciiTheme="minorHAnsi" w:eastAsia="Times New Roman" w:hAnsiTheme="minorHAnsi" w:cstheme="minorHAnsi"/>
          <w:sz w:val="21"/>
          <w:szCs w:val="21"/>
        </w:rPr>
        <w:t xml:space="preserve">. Tuition support is provided only during the </w:t>
      </w:r>
      <w:proofErr w:type="gramStart"/>
      <w:r w:rsidRPr="00D525F0">
        <w:rPr>
          <w:rFonts w:asciiTheme="minorHAnsi" w:eastAsia="Times New Roman" w:hAnsiTheme="minorHAnsi" w:cstheme="minorHAnsi"/>
          <w:sz w:val="21"/>
          <w:szCs w:val="21"/>
        </w:rPr>
        <w:t>semester(s)</w:t>
      </w:r>
      <w:proofErr w:type="gramEnd"/>
      <w:r w:rsidRPr="00D525F0">
        <w:rPr>
          <w:rFonts w:asciiTheme="minorHAnsi" w:eastAsia="Times New Roman" w:hAnsiTheme="minorHAnsi" w:cstheme="minorHAnsi"/>
          <w:sz w:val="21"/>
          <w:szCs w:val="21"/>
        </w:rPr>
        <w:t xml:space="preserve"> when a Dean's Fellowship is being paid.</w:t>
      </w:r>
      <w:bookmarkStart w:id="2" w:name="Updated_for_FY25_and_Beyond"/>
      <w:bookmarkStart w:id="3" w:name="DEAN’S_FELLOWSHIPS_(DF)_‐_$2,500_each:"/>
      <w:bookmarkStart w:id="4" w:name="TUITION_ASSISTANCE_for_Dean’s_Fellowship"/>
      <w:bookmarkEnd w:id="2"/>
      <w:bookmarkEnd w:id="3"/>
      <w:bookmarkEnd w:id="4"/>
    </w:p>
    <w:p w14:paraId="6AB14108" w14:textId="763729C6" w:rsidR="00C55DA5" w:rsidRPr="00A22C78" w:rsidRDefault="00C55DA5" w:rsidP="00753338">
      <w:pPr>
        <w:widowControl/>
        <w:autoSpaceDE/>
        <w:autoSpaceDN/>
        <w:spacing w:before="100" w:beforeAutospacing="1" w:after="100" w:afterAutospacing="1"/>
        <w:rPr>
          <w:b/>
          <w:bCs/>
        </w:rPr>
      </w:pPr>
      <w:r w:rsidRPr="00A22C78">
        <w:rPr>
          <w:b/>
          <w:bCs/>
          <w:u w:val="thick"/>
        </w:rPr>
        <w:t>TUITION</w:t>
      </w:r>
      <w:r w:rsidRPr="00A22C78">
        <w:rPr>
          <w:b/>
          <w:bCs/>
          <w:spacing w:val="-4"/>
          <w:u w:val="thick"/>
        </w:rPr>
        <w:t xml:space="preserve"> </w:t>
      </w:r>
      <w:r w:rsidRPr="00A22C78">
        <w:rPr>
          <w:b/>
          <w:bCs/>
          <w:u w:val="thick"/>
        </w:rPr>
        <w:t>ASSISTANCE</w:t>
      </w:r>
      <w:r w:rsidRPr="00A22C78">
        <w:rPr>
          <w:b/>
          <w:bCs/>
          <w:spacing w:val="-1"/>
          <w:u w:val="thick"/>
        </w:rPr>
        <w:t xml:space="preserve"> – From Previous Fiscal Year Allocation</w:t>
      </w:r>
      <w:r w:rsidR="001D4144" w:rsidRPr="00A22C78">
        <w:rPr>
          <w:b/>
          <w:bCs/>
          <w:spacing w:val="-1"/>
          <w:u w:val="thick"/>
        </w:rPr>
        <w:t>s</w:t>
      </w:r>
      <w:r w:rsidRPr="00A22C78">
        <w:rPr>
          <w:b/>
          <w:bCs/>
          <w:spacing w:val="-1"/>
          <w:u w:val="thick"/>
        </w:rPr>
        <w:t xml:space="preserve"> (FY24, FY25 &amp; FY</w:t>
      </w:r>
      <w:proofErr w:type="gramStart"/>
      <w:r w:rsidRPr="00A22C78">
        <w:rPr>
          <w:b/>
          <w:bCs/>
          <w:spacing w:val="-1"/>
          <w:u w:val="thick"/>
        </w:rPr>
        <w:t>26)_</w:t>
      </w:r>
      <w:proofErr w:type="gramEnd"/>
    </w:p>
    <w:p w14:paraId="13CA9FC4" w14:textId="0C5A8B5F" w:rsidR="00A22C78" w:rsidRPr="00A22C78" w:rsidRDefault="00CB5780" w:rsidP="00A22C78">
      <w:pPr>
        <w:widowControl/>
        <w:autoSpaceDE/>
        <w:autoSpaceDN/>
        <w:spacing w:before="100" w:beforeAutospacing="1"/>
        <w:rPr>
          <w:sz w:val="8"/>
          <w:szCs w:val="4"/>
        </w:rPr>
      </w:pPr>
      <w:r w:rsidRPr="005D7AF7">
        <w:rPr>
          <w:rFonts w:eastAsiaTheme="minorHAnsi"/>
          <w:b/>
          <w:bCs/>
          <w:color w:val="004E9A"/>
          <w:sz w:val="21"/>
          <w:szCs w:val="21"/>
        </w:rPr>
        <w:t>The Graduate School will continue to honor prior year’s tuition assistance commitment</w:t>
      </w:r>
      <w:r w:rsidR="005A7788">
        <w:rPr>
          <w:rFonts w:eastAsiaTheme="minorHAnsi"/>
          <w:b/>
          <w:bCs/>
          <w:color w:val="004E9A"/>
          <w:sz w:val="21"/>
          <w:szCs w:val="21"/>
        </w:rPr>
        <w:t xml:space="preserve">s </w:t>
      </w:r>
      <w:r w:rsidR="00753338">
        <w:rPr>
          <w:rFonts w:eastAsiaTheme="minorHAnsi"/>
          <w:b/>
          <w:bCs/>
          <w:color w:val="004E9A"/>
          <w:sz w:val="21"/>
          <w:szCs w:val="21"/>
        </w:rPr>
        <w:t>through FY2029</w:t>
      </w:r>
      <w:r w:rsidR="00C55DA5">
        <w:rPr>
          <w:rFonts w:eastAsiaTheme="minorHAnsi"/>
          <w:b/>
          <w:bCs/>
          <w:color w:val="004E9A"/>
          <w:sz w:val="21"/>
          <w:szCs w:val="21"/>
        </w:rPr>
        <w:t xml:space="preserve"> (final payout year for FY26 allocations).</w:t>
      </w:r>
      <w:r w:rsidR="00A22C78">
        <w:rPr>
          <w:sz w:val="8"/>
          <w:szCs w:val="4"/>
        </w:rPr>
        <w:br/>
      </w:r>
      <w:r w:rsidRPr="005D7AF7">
        <w:rPr>
          <w:rFonts w:eastAsiaTheme="minorHAnsi"/>
          <w:b/>
          <w:bCs/>
          <w:color w:val="004E9A"/>
          <w:sz w:val="21"/>
          <w:szCs w:val="21"/>
        </w:rPr>
        <w:t>FY25 &amp; FY26: $25K in DFs eligible for 10 credits</w:t>
      </w:r>
      <w:r w:rsidR="00753338">
        <w:rPr>
          <w:rFonts w:eastAsiaTheme="minorHAnsi"/>
          <w:b/>
          <w:bCs/>
          <w:color w:val="004E9A"/>
          <w:sz w:val="21"/>
          <w:szCs w:val="21"/>
        </w:rPr>
        <w:t xml:space="preserve"> per academic semester</w:t>
      </w:r>
      <w:r w:rsidRPr="005D7AF7">
        <w:rPr>
          <w:rFonts w:eastAsiaTheme="minorHAnsi"/>
          <w:b/>
          <w:bCs/>
          <w:color w:val="004E9A"/>
          <w:sz w:val="21"/>
          <w:szCs w:val="21"/>
        </w:rPr>
        <w:t xml:space="preserve"> and $12.5K in DFs eligible for 5 credits</w:t>
      </w:r>
      <w:r w:rsidR="00753338">
        <w:rPr>
          <w:rFonts w:eastAsiaTheme="minorHAnsi"/>
          <w:b/>
          <w:bCs/>
          <w:color w:val="004E9A"/>
          <w:sz w:val="21"/>
          <w:szCs w:val="21"/>
        </w:rPr>
        <w:t xml:space="preserve"> per academic semester.</w:t>
      </w:r>
      <w:r w:rsidR="00A22C78">
        <w:rPr>
          <w:sz w:val="8"/>
          <w:szCs w:val="4"/>
        </w:rPr>
        <w:br/>
      </w:r>
      <w:r w:rsidRPr="005D7AF7">
        <w:rPr>
          <w:rFonts w:eastAsiaTheme="minorHAnsi"/>
          <w:b/>
          <w:bCs/>
          <w:color w:val="004E9A"/>
          <w:sz w:val="21"/>
          <w:szCs w:val="21"/>
        </w:rPr>
        <w:t>FY24: $20K in DFs eligible for 10 credits</w:t>
      </w:r>
      <w:r w:rsidR="00753338">
        <w:rPr>
          <w:rFonts w:eastAsiaTheme="minorHAnsi"/>
          <w:b/>
          <w:bCs/>
          <w:color w:val="004E9A"/>
          <w:sz w:val="21"/>
          <w:szCs w:val="21"/>
        </w:rPr>
        <w:t xml:space="preserve"> per academic semester</w:t>
      </w:r>
      <w:r w:rsidRPr="005D7AF7">
        <w:rPr>
          <w:rFonts w:eastAsiaTheme="minorHAnsi"/>
          <w:b/>
          <w:bCs/>
          <w:color w:val="004E9A"/>
          <w:sz w:val="21"/>
          <w:szCs w:val="21"/>
        </w:rPr>
        <w:t xml:space="preserve"> and $10K in DFs eligible for 5 credits</w:t>
      </w:r>
      <w:r w:rsidR="00753338">
        <w:rPr>
          <w:rFonts w:eastAsiaTheme="minorHAnsi"/>
          <w:b/>
          <w:bCs/>
          <w:color w:val="004E9A"/>
          <w:sz w:val="21"/>
          <w:szCs w:val="21"/>
        </w:rPr>
        <w:t xml:space="preserve"> per academic semester</w:t>
      </w:r>
      <w:r w:rsidRPr="005D7AF7">
        <w:rPr>
          <w:rFonts w:eastAsiaTheme="minorHAnsi"/>
          <w:b/>
          <w:bCs/>
          <w:color w:val="004E9A"/>
          <w:sz w:val="21"/>
          <w:szCs w:val="21"/>
        </w:rPr>
        <w:t>.</w:t>
      </w:r>
      <w:r w:rsidR="00A22C78">
        <w:rPr>
          <w:rFonts w:eastAsiaTheme="minorHAnsi"/>
          <w:b/>
          <w:bCs/>
          <w:color w:val="004E9A"/>
          <w:sz w:val="21"/>
          <w:szCs w:val="21"/>
        </w:rPr>
        <w:t xml:space="preserve"> </w:t>
      </w:r>
      <w:r w:rsidRPr="00A22C78">
        <w:rPr>
          <w:rFonts w:eastAsiaTheme="minorHAnsi"/>
          <w:b/>
          <w:bCs/>
          <w:color w:val="E21833"/>
          <w:sz w:val="21"/>
          <w:szCs w:val="21"/>
        </w:rPr>
        <w:t>This is the final year</w:t>
      </w:r>
      <w:r w:rsidRPr="00CB5780">
        <w:rPr>
          <w:rFonts w:eastAsiaTheme="minorHAnsi"/>
          <w:b/>
          <w:bCs/>
          <w:color w:val="AA3F00"/>
          <w:sz w:val="21"/>
          <w:szCs w:val="21"/>
        </w:rPr>
        <w:t>.</w:t>
      </w:r>
    </w:p>
    <w:p w14:paraId="49271723" w14:textId="5C85CB06" w:rsidR="00CB5780" w:rsidRPr="00A22C78" w:rsidRDefault="00CB5780" w:rsidP="00A22C78">
      <w:pPr>
        <w:widowControl/>
        <w:kinsoku w:val="0"/>
        <w:overflowPunct w:val="0"/>
        <w:adjustRightInd w:val="0"/>
        <w:spacing w:before="60"/>
        <w:rPr>
          <w:rFonts w:eastAsiaTheme="minorHAnsi"/>
          <w:b/>
          <w:bCs/>
          <w:color w:val="004E9A"/>
          <w:sz w:val="21"/>
          <w:szCs w:val="21"/>
        </w:rPr>
      </w:pPr>
      <w:r w:rsidRPr="00C432F4">
        <w:rPr>
          <w:rFonts w:eastAsiaTheme="minorHAnsi"/>
          <w:b/>
          <w:bCs/>
          <w:sz w:val="21"/>
          <w:szCs w:val="21"/>
        </w:rPr>
        <w:t xml:space="preserve">Prior year funded DFs assigned to </w:t>
      </w:r>
      <w:r w:rsidRPr="00A22C78">
        <w:rPr>
          <w:rFonts w:eastAsiaTheme="minorHAnsi"/>
          <w:b/>
          <w:bCs/>
          <w:color w:val="E21833"/>
          <w:sz w:val="21"/>
          <w:szCs w:val="21"/>
        </w:rPr>
        <w:t>new</w:t>
      </w:r>
      <w:r w:rsidRPr="00C432F4">
        <w:rPr>
          <w:rFonts w:eastAsiaTheme="minorHAnsi"/>
          <w:b/>
          <w:bCs/>
          <w:sz w:val="21"/>
          <w:szCs w:val="21"/>
        </w:rPr>
        <w:t xml:space="preserve"> students will need to meet the new </w:t>
      </w:r>
      <w:r w:rsidR="000C6AA9">
        <w:rPr>
          <w:rFonts w:eastAsiaTheme="minorHAnsi"/>
          <w:b/>
          <w:bCs/>
          <w:sz w:val="21"/>
          <w:szCs w:val="21"/>
        </w:rPr>
        <w:t>tuition assistance</w:t>
      </w:r>
      <w:r w:rsidRPr="00C432F4">
        <w:rPr>
          <w:rFonts w:eastAsiaTheme="minorHAnsi"/>
          <w:b/>
          <w:bCs/>
          <w:sz w:val="21"/>
          <w:szCs w:val="21"/>
        </w:rPr>
        <w:t xml:space="preserve"> requirements for FY27.</w:t>
      </w:r>
    </w:p>
    <w:sectPr w:rsidR="00CB5780" w:rsidRPr="00A22C78" w:rsidSect="00547894">
      <w:headerReference w:type="default" r:id="rId7"/>
      <w:pgSz w:w="12240" w:h="15840"/>
      <w:pgMar w:top="360" w:right="45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9E6B" w14:textId="77777777" w:rsidR="00817B5E" w:rsidRDefault="00817B5E" w:rsidP="00A22C78">
      <w:r>
        <w:separator/>
      </w:r>
    </w:p>
  </w:endnote>
  <w:endnote w:type="continuationSeparator" w:id="0">
    <w:p w14:paraId="48DC07FF" w14:textId="77777777" w:rsidR="00817B5E" w:rsidRDefault="00817B5E" w:rsidP="00A2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2F990" w14:textId="77777777" w:rsidR="00817B5E" w:rsidRDefault="00817B5E" w:rsidP="00A22C78">
      <w:r>
        <w:separator/>
      </w:r>
    </w:p>
  </w:footnote>
  <w:footnote w:type="continuationSeparator" w:id="0">
    <w:p w14:paraId="4DB1CCCF" w14:textId="77777777" w:rsidR="00817B5E" w:rsidRDefault="00817B5E" w:rsidP="00A2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0848" w14:textId="6C65B301" w:rsidR="00A22C78" w:rsidRPr="00616051" w:rsidRDefault="00A22C78" w:rsidP="00A22C78">
    <w:pPr>
      <w:pStyle w:val="BodyText"/>
      <w:spacing w:line="276" w:lineRule="auto"/>
      <w:ind w:right="801"/>
      <w:rPr>
        <w:rFonts w:ascii="Bembo" w:hAnsi="Bembo"/>
        <w:b w:val="0"/>
        <w:bCs w:val="0"/>
        <w:i/>
        <w:iCs/>
        <w:color w:val="E21833"/>
        <w:sz w:val="16"/>
        <w:szCs w:val="16"/>
      </w:rPr>
    </w:pPr>
    <w:r w:rsidRPr="00616051">
      <w:rPr>
        <w:rFonts w:ascii="Bembo" w:hAnsi="Bembo"/>
        <w:b w:val="0"/>
        <w:bCs w:val="0"/>
        <w:color w:val="E21833"/>
        <w:sz w:val="16"/>
        <w:szCs w:val="16"/>
      </w:rPr>
      <w:t>THE GRADUATE SCHOOL |</w:t>
    </w:r>
    <w:r w:rsidRPr="00616051">
      <w:rPr>
        <w:rFonts w:ascii="Bembo" w:hAnsi="Bembo"/>
        <w:b w:val="0"/>
        <w:bCs w:val="0"/>
        <w:i/>
        <w:iCs/>
        <w:color w:val="E21833"/>
        <w:sz w:val="16"/>
        <w:szCs w:val="16"/>
      </w:rPr>
      <w:t xml:space="preserve"> Updated 6.9.2026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3C85"/>
    <w:multiLevelType w:val="multilevel"/>
    <w:tmpl w:val="00F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22BC8"/>
    <w:multiLevelType w:val="hybridMultilevel"/>
    <w:tmpl w:val="831E7968"/>
    <w:lvl w:ilvl="0" w:tplc="EF760140">
      <w:numFmt w:val="bullet"/>
      <w:lvlText w:val="•"/>
      <w:lvlJc w:val="left"/>
      <w:pPr>
        <w:ind w:left="887" w:hanging="360"/>
      </w:pPr>
      <w:rPr>
        <w:rFonts w:ascii="Microsoft Sans Serif" w:eastAsia="Microsoft Sans Serif" w:hAnsi="Microsoft Sans Serif" w:cs="Microsoft Sans Serif" w:hint="default"/>
        <w:b w:val="0"/>
        <w:bCs w:val="0"/>
        <w:i w:val="0"/>
        <w:iCs w:val="0"/>
        <w:w w:val="248"/>
        <w:sz w:val="22"/>
        <w:szCs w:val="22"/>
        <w:lang w:val="en-US" w:eastAsia="en-US" w:bidi="ar-SA"/>
      </w:rPr>
    </w:lvl>
    <w:lvl w:ilvl="1" w:tplc="56DED780">
      <w:numFmt w:val="bullet"/>
      <w:lvlText w:val="•"/>
      <w:lvlJc w:val="left"/>
      <w:pPr>
        <w:ind w:left="1910" w:hanging="360"/>
      </w:pPr>
      <w:rPr>
        <w:rFonts w:hint="default"/>
        <w:lang w:val="en-US" w:eastAsia="en-US" w:bidi="ar-SA"/>
      </w:rPr>
    </w:lvl>
    <w:lvl w:ilvl="2" w:tplc="0200098E">
      <w:numFmt w:val="bullet"/>
      <w:lvlText w:val="•"/>
      <w:lvlJc w:val="left"/>
      <w:pPr>
        <w:ind w:left="2940" w:hanging="360"/>
      </w:pPr>
      <w:rPr>
        <w:rFonts w:hint="default"/>
        <w:lang w:val="en-US" w:eastAsia="en-US" w:bidi="ar-SA"/>
      </w:rPr>
    </w:lvl>
    <w:lvl w:ilvl="3" w:tplc="1094729C">
      <w:numFmt w:val="bullet"/>
      <w:lvlText w:val="•"/>
      <w:lvlJc w:val="left"/>
      <w:pPr>
        <w:ind w:left="3970" w:hanging="360"/>
      </w:pPr>
      <w:rPr>
        <w:rFonts w:hint="default"/>
        <w:lang w:val="en-US" w:eastAsia="en-US" w:bidi="ar-SA"/>
      </w:rPr>
    </w:lvl>
    <w:lvl w:ilvl="4" w:tplc="49801ACC">
      <w:numFmt w:val="bullet"/>
      <w:lvlText w:val="•"/>
      <w:lvlJc w:val="left"/>
      <w:pPr>
        <w:ind w:left="5000" w:hanging="360"/>
      </w:pPr>
      <w:rPr>
        <w:rFonts w:hint="default"/>
        <w:lang w:val="en-US" w:eastAsia="en-US" w:bidi="ar-SA"/>
      </w:rPr>
    </w:lvl>
    <w:lvl w:ilvl="5" w:tplc="56C099FE">
      <w:numFmt w:val="bullet"/>
      <w:lvlText w:val="•"/>
      <w:lvlJc w:val="left"/>
      <w:pPr>
        <w:ind w:left="6030" w:hanging="360"/>
      </w:pPr>
      <w:rPr>
        <w:rFonts w:hint="default"/>
        <w:lang w:val="en-US" w:eastAsia="en-US" w:bidi="ar-SA"/>
      </w:rPr>
    </w:lvl>
    <w:lvl w:ilvl="6" w:tplc="45F2C3F2">
      <w:numFmt w:val="bullet"/>
      <w:lvlText w:val="•"/>
      <w:lvlJc w:val="left"/>
      <w:pPr>
        <w:ind w:left="7060" w:hanging="360"/>
      </w:pPr>
      <w:rPr>
        <w:rFonts w:hint="default"/>
        <w:lang w:val="en-US" w:eastAsia="en-US" w:bidi="ar-SA"/>
      </w:rPr>
    </w:lvl>
    <w:lvl w:ilvl="7" w:tplc="8CDA2218">
      <w:numFmt w:val="bullet"/>
      <w:lvlText w:val="•"/>
      <w:lvlJc w:val="left"/>
      <w:pPr>
        <w:ind w:left="8090" w:hanging="360"/>
      </w:pPr>
      <w:rPr>
        <w:rFonts w:hint="default"/>
        <w:lang w:val="en-US" w:eastAsia="en-US" w:bidi="ar-SA"/>
      </w:rPr>
    </w:lvl>
    <w:lvl w:ilvl="8" w:tplc="4B209AD4">
      <w:numFmt w:val="bullet"/>
      <w:lvlText w:val="•"/>
      <w:lvlJc w:val="left"/>
      <w:pPr>
        <w:ind w:left="9120" w:hanging="360"/>
      </w:pPr>
      <w:rPr>
        <w:rFonts w:hint="default"/>
        <w:lang w:val="en-US" w:eastAsia="en-US" w:bidi="ar-SA"/>
      </w:rPr>
    </w:lvl>
  </w:abstractNum>
  <w:abstractNum w:abstractNumId="2" w15:restartNumberingAfterBreak="0">
    <w:nsid w:val="70E67DD2"/>
    <w:multiLevelType w:val="hybridMultilevel"/>
    <w:tmpl w:val="4746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907026">
    <w:abstractNumId w:val="1"/>
  </w:num>
  <w:num w:numId="2" w16cid:durableId="783885678">
    <w:abstractNumId w:val="0"/>
  </w:num>
  <w:num w:numId="3" w16cid:durableId="966664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1"/>
    <w:rsid w:val="00015E16"/>
    <w:rsid w:val="00046ED2"/>
    <w:rsid w:val="000C6AA9"/>
    <w:rsid w:val="000E5B83"/>
    <w:rsid w:val="00100D86"/>
    <w:rsid w:val="0016484C"/>
    <w:rsid w:val="001D4144"/>
    <w:rsid w:val="001F587B"/>
    <w:rsid w:val="00224049"/>
    <w:rsid w:val="00240885"/>
    <w:rsid w:val="00243F9D"/>
    <w:rsid w:val="002C6091"/>
    <w:rsid w:val="00337AC7"/>
    <w:rsid w:val="003C3D75"/>
    <w:rsid w:val="00457FB7"/>
    <w:rsid w:val="00460C0C"/>
    <w:rsid w:val="004658D0"/>
    <w:rsid w:val="004E4CD5"/>
    <w:rsid w:val="00500364"/>
    <w:rsid w:val="005033C7"/>
    <w:rsid w:val="0053496E"/>
    <w:rsid w:val="00547894"/>
    <w:rsid w:val="005A7788"/>
    <w:rsid w:val="005D7AF7"/>
    <w:rsid w:val="005E38D6"/>
    <w:rsid w:val="00616051"/>
    <w:rsid w:val="00621133"/>
    <w:rsid w:val="00694A8F"/>
    <w:rsid w:val="00694EA4"/>
    <w:rsid w:val="0069688C"/>
    <w:rsid w:val="00753338"/>
    <w:rsid w:val="007552A2"/>
    <w:rsid w:val="00766BCC"/>
    <w:rsid w:val="007C1D93"/>
    <w:rsid w:val="007E1BB0"/>
    <w:rsid w:val="007F0C24"/>
    <w:rsid w:val="00817B5E"/>
    <w:rsid w:val="0087027D"/>
    <w:rsid w:val="008723CF"/>
    <w:rsid w:val="00882627"/>
    <w:rsid w:val="008D09D1"/>
    <w:rsid w:val="008E03B7"/>
    <w:rsid w:val="00924A7C"/>
    <w:rsid w:val="00992282"/>
    <w:rsid w:val="009C2681"/>
    <w:rsid w:val="009C7BBA"/>
    <w:rsid w:val="00A22C78"/>
    <w:rsid w:val="00A7591F"/>
    <w:rsid w:val="00A800DC"/>
    <w:rsid w:val="00A81FA4"/>
    <w:rsid w:val="00A852D0"/>
    <w:rsid w:val="00B001BC"/>
    <w:rsid w:val="00B55559"/>
    <w:rsid w:val="00BF32C0"/>
    <w:rsid w:val="00C255B7"/>
    <w:rsid w:val="00C432F4"/>
    <w:rsid w:val="00C55DA5"/>
    <w:rsid w:val="00C7591A"/>
    <w:rsid w:val="00CB5780"/>
    <w:rsid w:val="00CF47A4"/>
    <w:rsid w:val="00D525F0"/>
    <w:rsid w:val="00D57C76"/>
    <w:rsid w:val="00D64043"/>
    <w:rsid w:val="00DA3859"/>
    <w:rsid w:val="00DF1F61"/>
    <w:rsid w:val="00EB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F485"/>
  <w15:docId w15:val="{9D62B8FA-8239-47EB-AF7A-2DEEDA02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
      <w:ind w:left="781" w:right="973"/>
      <w:jc w:val="center"/>
      <w:outlineLvl w:val="0"/>
    </w:pPr>
    <w:rPr>
      <w:b/>
      <w:bCs/>
      <w:sz w:val="36"/>
      <w:szCs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
    <w:qFormat/>
    <w:pPr>
      <w:spacing w:before="9"/>
      <w:ind w:left="917" w:right="973"/>
      <w:jc w:val="center"/>
    </w:pPr>
    <w:rPr>
      <w:b/>
      <w:bCs/>
      <w:sz w:val="40"/>
      <w:szCs w:val="40"/>
      <w:u w:val="single" w:color="000000"/>
    </w:rPr>
  </w:style>
  <w:style w:type="paragraph" w:styleId="ListParagraph">
    <w:name w:val="List Paragraph"/>
    <w:basedOn w:val="Normal"/>
    <w:uiPriority w:val="1"/>
    <w:qFormat/>
    <w:pPr>
      <w:spacing w:before="32"/>
      <w:ind w:left="887" w:hanging="360"/>
    </w:pPr>
  </w:style>
  <w:style w:type="paragraph" w:customStyle="1" w:styleId="TableParagraph">
    <w:name w:val="Table Paragraph"/>
    <w:basedOn w:val="Normal"/>
    <w:uiPriority w:val="1"/>
    <w:qFormat/>
    <w:pPr>
      <w:ind w:left="50"/>
      <w:jc w:val="center"/>
    </w:pPr>
  </w:style>
  <w:style w:type="paragraph" w:styleId="NormalWeb">
    <w:name w:val="Normal (Web)"/>
    <w:basedOn w:val="Normal"/>
    <w:uiPriority w:val="99"/>
    <w:semiHidden/>
    <w:unhideWhenUsed/>
    <w:rsid w:val="008826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5A778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5A7788"/>
    <w:rPr>
      <w:sz w:val="16"/>
      <w:szCs w:val="16"/>
    </w:rPr>
  </w:style>
  <w:style w:type="paragraph" w:styleId="CommentText">
    <w:name w:val="annotation text"/>
    <w:basedOn w:val="Normal"/>
    <w:link w:val="CommentTextChar"/>
    <w:uiPriority w:val="99"/>
    <w:semiHidden/>
    <w:unhideWhenUsed/>
    <w:rsid w:val="005A7788"/>
    <w:rPr>
      <w:sz w:val="20"/>
      <w:szCs w:val="20"/>
    </w:rPr>
  </w:style>
  <w:style w:type="character" w:customStyle="1" w:styleId="CommentTextChar">
    <w:name w:val="Comment Text Char"/>
    <w:basedOn w:val="DefaultParagraphFont"/>
    <w:link w:val="CommentText"/>
    <w:uiPriority w:val="99"/>
    <w:semiHidden/>
    <w:rsid w:val="005A778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A7788"/>
    <w:rPr>
      <w:b/>
      <w:bCs/>
    </w:rPr>
  </w:style>
  <w:style w:type="character" w:customStyle="1" w:styleId="CommentSubjectChar">
    <w:name w:val="Comment Subject Char"/>
    <w:basedOn w:val="CommentTextChar"/>
    <w:link w:val="CommentSubject"/>
    <w:uiPriority w:val="99"/>
    <w:semiHidden/>
    <w:rsid w:val="005A7788"/>
    <w:rPr>
      <w:rFonts w:ascii="Calibri" w:eastAsia="Calibri" w:hAnsi="Calibri" w:cs="Calibri"/>
      <w:b/>
      <w:bCs/>
      <w:sz w:val="20"/>
      <w:szCs w:val="20"/>
    </w:rPr>
  </w:style>
  <w:style w:type="paragraph" w:styleId="Header">
    <w:name w:val="header"/>
    <w:basedOn w:val="Normal"/>
    <w:link w:val="HeaderChar"/>
    <w:uiPriority w:val="99"/>
    <w:unhideWhenUsed/>
    <w:rsid w:val="00A22C78"/>
    <w:pPr>
      <w:tabs>
        <w:tab w:val="center" w:pos="4680"/>
        <w:tab w:val="right" w:pos="9360"/>
      </w:tabs>
    </w:pPr>
  </w:style>
  <w:style w:type="character" w:customStyle="1" w:styleId="HeaderChar">
    <w:name w:val="Header Char"/>
    <w:basedOn w:val="DefaultParagraphFont"/>
    <w:link w:val="Header"/>
    <w:uiPriority w:val="99"/>
    <w:rsid w:val="00A22C78"/>
    <w:rPr>
      <w:rFonts w:ascii="Calibri" w:eastAsia="Calibri" w:hAnsi="Calibri" w:cs="Calibri"/>
    </w:rPr>
  </w:style>
  <w:style w:type="paragraph" w:styleId="Footer">
    <w:name w:val="footer"/>
    <w:basedOn w:val="Normal"/>
    <w:link w:val="FooterChar"/>
    <w:uiPriority w:val="99"/>
    <w:unhideWhenUsed/>
    <w:rsid w:val="00A22C78"/>
    <w:pPr>
      <w:tabs>
        <w:tab w:val="center" w:pos="4680"/>
        <w:tab w:val="right" w:pos="9360"/>
      </w:tabs>
    </w:pPr>
  </w:style>
  <w:style w:type="character" w:customStyle="1" w:styleId="FooterChar">
    <w:name w:val="Footer Char"/>
    <w:basedOn w:val="DefaultParagraphFont"/>
    <w:link w:val="Footer"/>
    <w:uiPriority w:val="99"/>
    <w:rsid w:val="00A22C78"/>
    <w:rPr>
      <w:rFonts w:ascii="Calibri" w:eastAsia="Calibri" w:hAnsi="Calibri" w:cs="Calibri"/>
    </w:rPr>
  </w:style>
  <w:style w:type="character" w:customStyle="1" w:styleId="BodyTextChar">
    <w:name w:val="Body Text Char"/>
    <w:basedOn w:val="DefaultParagraphFont"/>
    <w:link w:val="BodyText"/>
    <w:uiPriority w:val="1"/>
    <w:rsid w:val="00A22C78"/>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UF and DF Overview with 2000min MF.docx</vt:lpstr>
    </vt:vector>
  </TitlesOfParts>
  <Company>UMD</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UF and DF Overview with 2000min MF.docx</dc:title>
  <dc:creator>paw</dc:creator>
  <cp:lastModifiedBy>Jillian Randall</cp:lastModifiedBy>
  <cp:revision>2</cp:revision>
  <cp:lastPrinted>2026-05-19T12:57:00Z</cp:lastPrinted>
  <dcterms:created xsi:type="dcterms:W3CDTF">2026-06-26T17:20:00Z</dcterms:created>
  <dcterms:modified xsi:type="dcterms:W3CDTF">2026-06-26T17:20:00Z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Creator">
    <vt:lpwstr>Acrobat PDFMaker 17 for Word</vt:lpwstr>
  </property>
  <property fmtid="{D5CDD505-2E9C-101B-9397-08002B2CF9AE}" pid="4" name="LastSaved">
    <vt:filetime>2023-05-31T00:00:00Z</vt:filetime>
  </property>
  <property fmtid="{D5CDD505-2E9C-101B-9397-08002B2CF9AE}" pid="5" name="Producer">
    <vt:lpwstr>Adobe PDF Library 15.0</vt:lpwstr>
  </property>
  <property fmtid="{D5CDD505-2E9C-101B-9397-08002B2CF9AE}" pid="6" name="SourceModified">
    <vt:lpwstr>D:20170807220808</vt:lpwstr>
  </property>
  <property fmtid="{D5CDD505-2E9C-101B-9397-08002B2CF9AE}" pid="7" name="_DocHome">
    <vt:i4>-2010614613</vt:i4>
  </property>
</Properties>
</file>